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media/image6.wmf" ContentType="image/x-wmf"/>
  <Override PartName="/word/media/image5.wmf" ContentType="image/x-wmf"/>
  <Override PartName="/word/media/image4.wmf" ContentType="image/x-wmf"/>
  <Override PartName="/word/media/image3.wmf" ContentType="image/x-wmf"/>
  <Override PartName="/word/media/image1.wmf" ContentType="image/x-wmf"/>
  <Override PartName="/word/media/image12.jpeg" ContentType="image/jpeg"/>
  <Override PartName="/word/media/image13.png" ContentType="image/png"/>
  <Override PartName="/word/media/image10.png" ContentType="image/png"/>
  <Override PartName="/word/media/image11.jpeg" ContentType="image/jpeg"/>
  <Override PartName="/word/media/image2.wmf" ContentType="image/x-wmf"/>
  <Override PartName="/word/media/image9.png" ContentType="image/png"/>
  <Override PartName="/word/media/image7.wmf" ContentType="image/x-wmf"/>
  <Override PartName="/word/media/image8.wmf" ContentType="image/x-wmf"/>
  <Override PartName="/word/embeddings/oleObject6.bin" ContentType="application/vnd.openxmlformats-officedocument.oleObject"/>
  <Override PartName="/word/embeddings/oleObject2.bin" ContentType="application/vnd.openxmlformats-officedocument.oleObject"/>
  <Override PartName="/word/embeddings/oleObject7.bin" ContentType="application/vnd.openxmlformats-officedocument.oleObject"/>
  <Override PartName="/word/embeddings/oleObject1.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oter1.xml" ContentType="application/vnd.openxmlformats-officedocument.wordprocessingml.footer+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idi w:val="0"/>
        <w:ind w:left="0" w:right="0" w:hanging="0"/>
        <w:jc w:val="center"/>
        <w:rPr/>
      </w:pPr>
      <w:r>
        <w:rPr>
          <w:rFonts w:cs="Arial" w:ascii="Arial" w:hAnsi="Arial"/>
          <w:sz w:val="40"/>
          <w:szCs w:val="40"/>
        </w:rPr>
        <w:t>The Sentinel</w:t>
      </w:r>
      <w:r>
        <w:rPr>
          <w:rFonts w:cs="Arial" w:ascii="Arial" w:hAnsi="Arial"/>
          <w:sz w:val="22"/>
          <w:szCs w:val="22"/>
        </w:rPr>
        <w:t xml:space="preserve"> </w:t>
      </w:r>
      <w:r>
        <w:rPr/>
        <w:drawing>
          <wp:inline distT="0" distB="0" distL="0" distR="0">
            <wp:extent cx="588010" cy="110363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88010" cy="1103630"/>
                    </a:xfrm>
                    <a:prstGeom prst="rect">
                      <a:avLst/>
                    </a:prstGeom>
                  </pic:spPr>
                </pic:pic>
              </a:graphicData>
            </a:graphic>
          </wp:inline>
        </w:drawing>
      </w:r>
    </w:p>
    <w:p>
      <w:pPr>
        <w:pStyle w:val="Heading1"/>
        <w:pBdr/>
        <w:bidi w:val="0"/>
        <w:ind w:left="0" w:right="0" w:hanging="0"/>
        <w:rPr/>
      </w:pPr>
      <w:r>
        <w:rPr>
          <w:rFonts w:cs="Arial" w:ascii="Arial" w:hAnsi="Arial"/>
          <w:sz w:val="22"/>
          <w:szCs w:val="22"/>
        </w:rPr>
        <w:t>The Newsletter for the Association of North Carolina Cancer Registrars</w:t>
      </w:r>
    </w:p>
    <w:p>
      <w:pPr>
        <w:pStyle w:val="Normal"/>
        <w:pBdr/>
        <w:bidi w:val="0"/>
        <w:ind w:left="0" w:right="0" w:hanging="0"/>
        <w:jc w:val="right"/>
        <w:rPr/>
      </w:pPr>
      <w:r>
        <w:rPr>
          <w:rFonts w:cs="Arial" w:ascii="Arial" w:hAnsi="Arial"/>
          <w:sz w:val="22"/>
          <w:szCs w:val="22"/>
        </w:rPr>
        <w:t>Summer 2020</w:t>
      </w:r>
    </w:p>
    <w:p>
      <w:pPr>
        <w:pStyle w:val="Normal"/>
        <w:bidi w:val="0"/>
        <w:ind w:left="0" w:right="0" w:hanging="0"/>
        <w:rPr>
          <w:rFonts w:ascii="Arial" w:hAnsi="Arial" w:cs="Arial"/>
          <w:sz w:val="22"/>
          <w:szCs w:val="22"/>
        </w:rPr>
      </w:pPr>
      <w:r>
        <w:rPr>
          <w:rFonts w:cs="Arial" w:ascii="Arial" w:hAnsi="Arial"/>
          <w:sz w:val="22"/>
          <w:szCs w:val="22"/>
        </w:rPr>
      </w:r>
    </w:p>
    <w:p>
      <w:pPr>
        <w:pStyle w:val="Normal"/>
        <w:bidi w:val="0"/>
        <w:ind w:left="0" w:right="0" w:hanging="0"/>
        <w:rPr>
          <w:rFonts w:ascii="Arial" w:hAnsi="Arial" w:cs="Arial"/>
          <w:sz w:val="22"/>
          <w:szCs w:val="22"/>
        </w:rPr>
      </w:pPr>
      <w:r>
        <w:rPr>
          <w:rFonts w:cs="Arial" w:ascii="Arial" w:hAnsi="Arial"/>
          <w:sz w:val="22"/>
          <w:szCs w:val="22"/>
        </w:rPr>
      </w:r>
    </w:p>
    <w:p>
      <w:pPr>
        <w:pStyle w:val="NoSpacing"/>
        <w:bidi w:val="0"/>
        <w:ind w:left="0" w:right="0" w:hanging="0"/>
        <w:rPr/>
      </w:pPr>
      <w:r>
        <w:rPr>
          <w:rFonts w:cs="Arial" w:ascii="Arial" w:hAnsi="Arial"/>
          <w:b/>
          <w:color w:val="339933"/>
          <w:sz w:val="24"/>
        </w:rPr>
        <w:t>Message from the President:</w:t>
      </w:r>
    </w:p>
    <w:p>
      <w:pPr>
        <w:pStyle w:val="NoSpacing"/>
        <w:bidi w:val="0"/>
        <w:ind w:left="0" w:right="0" w:hanging="0"/>
        <w:rPr/>
      </w:pPr>
      <w:r>
        <w:rPr>
          <w:rFonts w:cs="Arial" w:ascii="Arial" w:hAnsi="Arial"/>
          <w:b/>
          <w:color w:val="339933"/>
          <w:sz w:val="24"/>
        </w:rPr>
        <w:t>Paige Tedder, RHIT, CTR</w:t>
      </w:r>
    </w:p>
    <w:p>
      <w:pPr>
        <w:pStyle w:val="NoSpacing"/>
        <w:bidi w:val="0"/>
        <w:ind w:left="0" w:right="0" w:hanging="0"/>
        <w:rPr>
          <w:rFonts w:ascii="Arial" w:hAnsi="Arial" w:cs="Arial"/>
          <w:b/>
          <w:b/>
          <w:color w:val="339933"/>
          <w:sz w:val="24"/>
        </w:rPr>
      </w:pPr>
      <w:r>
        <w:rPr>
          <w:rFonts w:cs="Arial" w:ascii="Arial" w:hAnsi="Arial"/>
          <w:b/>
          <w:color w:val="339933"/>
          <w:sz w:val="24"/>
        </w:rPr>
      </w:r>
    </w:p>
    <w:p>
      <w:pPr>
        <w:pStyle w:val="NoSpacing"/>
        <w:bidi w:val="0"/>
        <w:ind w:left="0" w:right="0" w:hanging="0"/>
        <w:rPr>
          <w:rFonts w:ascii="Arial" w:hAnsi="Arial" w:cs="Arial"/>
          <w:b/>
          <w:b/>
          <w:color w:val="339933"/>
          <w:sz w:val="24"/>
        </w:rPr>
      </w:pPr>
      <w:r>
        <w:rPr>
          <w:rFonts w:cs="Arial" w:ascii="Arial" w:hAnsi="Arial"/>
          <w:b/>
          <w:color w:val="339933"/>
          <w:sz w:val="24"/>
        </w:rPr>
      </w:r>
    </w:p>
    <w:p>
      <w:pPr>
        <w:pStyle w:val="Normal"/>
        <w:bidi w:val="0"/>
        <w:ind w:left="0" w:right="0" w:hanging="0"/>
        <w:rPr/>
      </w:pPr>
      <w:r>
        <w:rPr>
          <w:rFonts w:cs="Arial" w:ascii="Arial" w:hAnsi="Arial"/>
        </w:rPr>
        <w:t>Happy Summer ANCCR Members,</w:t>
      </w:r>
    </w:p>
    <w:p>
      <w:pPr>
        <w:pStyle w:val="Normal"/>
        <w:bidi w:val="0"/>
        <w:ind w:left="0" w:right="0" w:hanging="0"/>
        <w:rPr>
          <w:rFonts w:ascii="Arial" w:hAnsi="Arial" w:cs="Arial"/>
        </w:rPr>
      </w:pPr>
      <w:r>
        <w:rPr>
          <w:rFonts w:cs="Arial" w:ascii="Arial" w:hAnsi="Arial"/>
        </w:rPr>
      </w:r>
    </w:p>
    <w:p>
      <w:pPr>
        <w:pStyle w:val="Normal"/>
        <w:bidi w:val="0"/>
        <w:ind w:left="0" w:right="0" w:hanging="0"/>
        <w:rPr/>
      </w:pPr>
      <w:r>
        <w:rPr>
          <w:rFonts w:cs="Arial" w:ascii="Arial" w:hAnsi="Arial"/>
        </w:rPr>
        <w:t>I hope everyone is having a great summer and has been able to get out and do something fun.  I know a lot of vacation plans have changed or been postponed due to the pandemic.  Hopefully though, you have still been able to get out and enjoy this beautiful weather.</w:t>
      </w:r>
    </w:p>
    <w:p>
      <w:pPr>
        <w:pStyle w:val="Normal"/>
        <w:bidi w:val="0"/>
        <w:ind w:left="0" w:right="0" w:hanging="0"/>
        <w:rPr>
          <w:rFonts w:ascii="Arial" w:hAnsi="Arial" w:cs="Arial"/>
        </w:rPr>
      </w:pPr>
      <w:r>
        <w:rPr>
          <w:rFonts w:cs="Arial" w:ascii="Arial" w:hAnsi="Arial"/>
        </w:rPr>
      </w:r>
    </w:p>
    <w:p>
      <w:pPr>
        <w:pStyle w:val="Normal"/>
        <w:bidi w:val="0"/>
        <w:ind w:left="0" w:right="0" w:hanging="0"/>
        <w:rPr/>
      </w:pPr>
      <w:r>
        <w:rPr>
          <w:rFonts w:cs="Arial" w:ascii="Arial" w:hAnsi="Arial"/>
        </w:rPr>
        <w:t xml:space="preserve">The ANCCR Board recently met and made the difficult decision to cancel this year’s annual meeting in Flat Rock.  We initially discussed a complete virtual meeting but felt it would be too difficult to arrange at this late date.  We encourage all members to attend NCRA’s virtual meeting or other online webinars offering CE’s.  We plan to hold next year’s meeting in Flat Rock in Sept 2021.  </w:t>
      </w:r>
    </w:p>
    <w:p>
      <w:pPr>
        <w:pStyle w:val="Normal"/>
        <w:bidi w:val="0"/>
        <w:ind w:left="0" w:right="0" w:hanging="0"/>
        <w:rPr>
          <w:rFonts w:ascii="Arial" w:hAnsi="Arial" w:cs="Arial"/>
        </w:rPr>
      </w:pPr>
      <w:r>
        <w:rPr>
          <w:rFonts w:cs="Arial" w:ascii="Arial" w:hAnsi="Arial"/>
        </w:rPr>
      </w:r>
    </w:p>
    <w:p>
      <w:pPr>
        <w:pStyle w:val="Normal"/>
        <w:bidi w:val="0"/>
        <w:ind w:left="0" w:right="0" w:hanging="0"/>
        <w:rPr/>
      </w:pPr>
      <w:r>
        <w:rPr>
          <w:rFonts w:cs="Arial" w:ascii="Arial" w:hAnsi="Arial"/>
        </w:rPr>
        <w:t xml:space="preserve">Just announced last week, The CoC and NCDB will begin the pilot testing program of the new Rapid Cancer Reporting Systems (RCRS) on August 3, which will replace the Rapid Quality Report System (RQRS).  Atrium Health will be participating in the pilot testing and I look forward to sharing my thoughts about RCRS vs RQRS in the next newsletter. </w:t>
      </w:r>
    </w:p>
    <w:p>
      <w:pPr>
        <w:pStyle w:val="Normal"/>
        <w:bidi w:val="0"/>
        <w:ind w:left="0" w:right="0" w:hanging="0"/>
        <w:rPr>
          <w:rFonts w:ascii="Arial" w:hAnsi="Arial" w:cs="Arial"/>
        </w:rPr>
      </w:pPr>
      <w:r>
        <w:rPr>
          <w:rFonts w:cs="Arial" w:ascii="Arial" w:hAnsi="Arial"/>
        </w:rPr>
      </w:r>
    </w:p>
    <w:p>
      <w:pPr>
        <w:pStyle w:val="Normal"/>
        <w:bidi w:val="0"/>
        <w:ind w:left="0" w:right="0" w:hanging="0"/>
        <w:rPr/>
      </w:pPr>
      <w:r>
        <w:rPr>
          <w:rFonts w:cs="Arial" w:ascii="Arial" w:hAnsi="Arial"/>
        </w:rPr>
        <w:t xml:space="preserve">Everyone please stay safe and enjoy the remainder of your summer.  </w:t>
      </w:r>
    </w:p>
    <w:p>
      <w:pPr>
        <w:pStyle w:val="NoSpacing"/>
        <w:bidi w:val="0"/>
        <w:ind w:left="0" w:right="0" w:hanging="0"/>
        <w:rPr>
          <w:rFonts w:ascii="Arial" w:hAnsi="Arial" w:cs="Arial"/>
          <w:b/>
          <w:b/>
          <w:color w:val="339933"/>
          <w:sz w:val="24"/>
        </w:rPr>
      </w:pPr>
      <w:r>
        <w:rPr>
          <w:rFonts w:cs="Arial" w:ascii="Arial" w:hAnsi="Arial"/>
          <w:b/>
          <w:color w:val="339933"/>
          <w:sz w:val="24"/>
        </w:rPr>
      </w:r>
    </w:p>
    <w:p>
      <w:pPr>
        <w:pStyle w:val="Normal"/>
        <w:bidi w:val="0"/>
        <w:ind w:left="0" w:right="0" w:hanging="0"/>
        <w:rPr/>
      </w:pPr>
      <w:r>
        <w:rPr>
          <w:rFonts w:cs="Arial" w:ascii="Arial" w:hAnsi="Arial"/>
          <w:sz w:val="22"/>
          <w:szCs w:val="22"/>
        </w:rPr>
        <w:t>Stay safe.</w:t>
      </w:r>
    </w:p>
    <w:p>
      <w:pPr>
        <w:pStyle w:val="Normal"/>
        <w:bidi w:val="0"/>
        <w:ind w:left="0" w:right="0" w:hanging="0"/>
        <w:rPr>
          <w:rFonts w:ascii="Script MT Bold" w:hAnsi="Script MT Bold"/>
        </w:rPr>
      </w:pPr>
      <w:r>
        <w:rPr>
          <w:rFonts w:ascii="Script MT Bold" w:hAnsi="Script MT Bold"/>
        </w:rPr>
      </w:r>
    </w:p>
    <w:p>
      <w:pPr>
        <w:pStyle w:val="Normal"/>
        <w:bidi w:val="0"/>
        <w:ind w:left="0" w:right="0" w:hanging="0"/>
        <w:rPr/>
      </w:pPr>
      <w:r>
        <w:rPr>
          <w:rFonts w:ascii="Script MT Bold" w:hAnsi="Script MT Bold"/>
        </w:rPr>
        <w:t>Paige</w:t>
      </w:r>
    </w:p>
    <w:p>
      <w:pPr>
        <w:pStyle w:val="Normal"/>
        <w:pBdr>
          <w:bottom w:val="single" w:sz="12" w:space="1" w:color="000000"/>
        </w:pBdr>
        <w:bidi w:val="0"/>
        <w:ind w:left="0" w:right="0" w:hanging="0"/>
        <w:rPr>
          <w:rFonts w:ascii="Script MT Bold" w:hAnsi="Script MT Bold"/>
        </w:rPr>
      </w:pPr>
      <w:r>
        <w:rPr>
          <w:rFonts w:ascii="Script MT Bold" w:hAnsi="Script MT Bold"/>
        </w:rPr>
      </w:r>
    </w:p>
    <w:p>
      <w:pPr>
        <w:pStyle w:val="Normal"/>
        <w:bidi w:val="0"/>
        <w:ind w:left="0" w:right="0" w:hanging="0"/>
        <w:rPr>
          <w:rFonts w:ascii="Script MT Bold" w:hAnsi="Script MT Bold"/>
        </w:rPr>
      </w:pPr>
      <w:r>
        <w:rPr>
          <w:rFonts w:ascii="Script MT Bold" w:hAnsi="Script MT Bold"/>
        </w:rPr>
      </w:r>
    </w:p>
    <w:p>
      <w:pPr>
        <w:pStyle w:val="Normal"/>
        <w:bidi w:val="0"/>
        <w:ind w:left="0" w:right="0" w:hanging="0"/>
        <w:rPr/>
      </w:pPr>
      <w:r>
        <w:rPr>
          <w:rFonts w:cs="Arial" w:ascii="Arial" w:hAnsi="Arial"/>
        </w:rPr>
        <w:t>Dr. Greene’s Article</w:t>
      </w:r>
    </w:p>
    <w:p>
      <w:pPr>
        <w:pStyle w:val="Normal"/>
        <w:bidi w:val="0"/>
        <w:ind w:left="0" w:right="0" w:hanging="0"/>
        <w:jc w:val="center"/>
        <w:rPr>
          <w:rFonts w:ascii="Script MT Bold" w:hAnsi="Script MT Bold"/>
        </w:rPr>
      </w:pPr>
      <w:r>
        <w:rPr/>
        <w:object>
          <v:shape id="ole_rId3" style="width:76.5pt;height:50pt" o:ole="">
            <v:imagedata r:id="rId4" o:title=""/>
          </v:shape>
          <o:OLEObject Type="Embed" ProgID="AcroExch.Document.7" ShapeID="ole_rId3" DrawAspect="" ObjectID="_1307125521" r:id="rId3"/>
        </w:object>
      </w:r>
    </w:p>
    <w:p>
      <w:pPr>
        <w:pStyle w:val="Normal"/>
        <w:bidi w:val="0"/>
        <w:ind w:left="0" w:right="0" w:hanging="0"/>
        <w:rPr>
          <w:rFonts w:ascii="Script MT Bold" w:hAnsi="Script MT Bold"/>
        </w:rPr>
      </w:pPr>
      <w:r>
        <w:rPr>
          <w:rFonts w:ascii="Script MT Bold" w:hAnsi="Script MT Bold"/>
        </w:rPr>
      </w:r>
    </w:p>
    <w:p>
      <w:pPr>
        <w:pStyle w:val="Normal"/>
        <w:bidi w:val="0"/>
        <w:ind w:left="0" w:right="0" w:hanging="0"/>
        <w:jc w:val="center"/>
        <w:rPr/>
      </w:pPr>
      <w:r>
        <w:rPr>
          <w:rFonts w:ascii="Script MT Bold" w:hAnsi="Script MT Bold"/>
        </w:rPr>
        <w:t>In the good ole summer time!  In the good ole summer time!  In the good ole summer time!</w:t>
      </w:r>
    </w:p>
    <w:p>
      <w:pPr>
        <w:pStyle w:val="Normal"/>
        <w:bidi w:val="0"/>
        <w:ind w:left="0" w:right="0" w:hanging="0"/>
        <w:jc w:val="center"/>
        <w:rPr/>
      </w:pPr>
      <w:r>
        <w:rPr>
          <w:rFonts w:cs="Arial" w:ascii="Arial" w:hAnsi="Arial"/>
          <w:b/>
          <w:szCs w:val="22"/>
        </w:rPr>
        <w:t>ANCCR’s Executive Board 2020</w:t>
      </w:r>
    </w:p>
    <w:p>
      <w:pPr>
        <w:pStyle w:val="Normal"/>
        <w:bidi w:val="0"/>
        <w:ind w:left="0" w:right="0" w:hanging="0"/>
        <w:jc w:val="center"/>
        <w:rPr>
          <w:rFonts w:ascii="Arial" w:hAnsi="Arial" w:cs="Arial"/>
          <w:b/>
          <w:b/>
          <w:sz w:val="22"/>
          <w:szCs w:val="22"/>
        </w:rPr>
      </w:pPr>
      <w:r>
        <w:rPr>
          <w:rFonts w:cs="Arial" w:ascii="Arial" w:hAnsi="Arial"/>
          <w:b/>
          <w:sz w:val="22"/>
          <w:szCs w:val="22"/>
        </w:rPr>
      </w:r>
    </w:p>
    <w:tbl>
      <w:tblPr>
        <w:tblW w:w="9576" w:type="dxa"/>
        <w:jc w:val="left"/>
        <w:tblInd w:w="-109" w:type="dxa"/>
        <w:tblCellMar>
          <w:top w:w="0" w:type="dxa"/>
          <w:left w:w="108" w:type="dxa"/>
          <w:bottom w:w="0" w:type="dxa"/>
          <w:right w:w="108" w:type="dxa"/>
        </w:tblCellMar>
      </w:tblPr>
      <w:tblGrid>
        <w:gridCol w:w="2717"/>
        <w:gridCol w:w="3225"/>
        <w:gridCol w:w="3634"/>
      </w:tblGrid>
      <w:tr>
        <w:trPr/>
        <w:tc>
          <w:tcPr>
            <w:tcW w:w="2717"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Office</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Name</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Email</w:t>
            </w:r>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President</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Paige Tedder, RHIT,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5">
              <w:r>
                <w:rPr>
                  <w:rStyle w:val="InternetLink"/>
                  <w:rFonts w:eastAsia="Calibri" w:cs="Arial" w:ascii="Arial" w:hAnsi="Arial"/>
                  <w:color w:val="0000FF"/>
                  <w:sz w:val="20"/>
                  <w:szCs w:val="20"/>
                  <w:u w:val="single"/>
                </w:rPr>
                <w:t>paige.tedder@atriumhealth.org</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Immediate Past President</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Kelly Lowrance, RHIT,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6">
              <w:r>
                <w:rPr>
                  <w:rStyle w:val="InternetLink"/>
                  <w:rFonts w:eastAsia="Calibri" w:cs="Arial" w:ascii="Arial" w:hAnsi="Arial"/>
                  <w:color w:val="0000FF"/>
                  <w:sz w:val="20"/>
                  <w:szCs w:val="20"/>
                  <w:u w:val="single"/>
                </w:rPr>
                <w:t>kalowrance@novanthealth.org</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Vice President</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Angela Rodriguez,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7">
              <w:r>
                <w:rPr>
                  <w:rStyle w:val="InternetLink"/>
                  <w:rFonts w:eastAsia="Calibri" w:cs="Arial" w:ascii="Arial" w:hAnsi="Arial"/>
                  <w:color w:val="0000FF"/>
                  <w:sz w:val="20"/>
                  <w:szCs w:val="20"/>
                  <w:u w:val="single"/>
                </w:rPr>
                <w:t>angela.rodriguez@mercy.net</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Secretary</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Amy Arnold,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8">
              <w:r>
                <w:rPr>
                  <w:rStyle w:val="InternetLink"/>
                  <w:rFonts w:eastAsia="Calibri" w:cs="Arial" w:ascii="Arial" w:hAnsi="Arial"/>
                  <w:color w:val="0000FF"/>
                  <w:sz w:val="20"/>
                  <w:szCs w:val="20"/>
                  <w:u w:val="single"/>
                </w:rPr>
                <w:t>amyarnold@registrypartners.com</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Treasurer</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Christine Smith,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9">
              <w:r>
                <w:rPr>
                  <w:rStyle w:val="InternetLink"/>
                  <w:rFonts w:eastAsia="Calibri" w:cs="Arial" w:ascii="Arial" w:hAnsi="Arial"/>
                  <w:color w:val="0000FF"/>
                  <w:sz w:val="20"/>
                  <w:szCs w:val="20"/>
                  <w:u w:val="single"/>
                </w:rPr>
                <w:t>jamstribe@aol.com</w:t>
              </w:r>
            </w:hyperlink>
          </w:p>
        </w:tc>
      </w:tr>
      <w:tr>
        <w:trPr/>
        <w:tc>
          <w:tcPr>
            <w:tcW w:w="2717" w:type="dxa"/>
            <w:tcBorders>
              <w:top w:val="single" w:sz="4" w:space="0" w:color="000000"/>
              <w:left w:val="single" w:sz="4" w:space="0" w:color="000000"/>
              <w:bottom w:val="single" w:sz="4" w:space="0" w:color="000000"/>
              <w:right w:val="single" w:sz="4" w:space="0" w:color="000000"/>
            </w:tcBorders>
            <w:shd w:color="auto" w:fill="C5E0B3"/>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225" w:type="dxa"/>
            <w:tcBorders>
              <w:top w:val="single" w:sz="4" w:space="0" w:color="000000"/>
              <w:left w:val="single" w:sz="4" w:space="0" w:color="000000"/>
              <w:bottom w:val="single" w:sz="4" w:space="0" w:color="000000"/>
              <w:right w:val="single" w:sz="4" w:space="0" w:color="000000"/>
            </w:tcBorders>
            <w:shd w:color="auto" w:fill="C5E0B3"/>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634" w:type="dxa"/>
            <w:tcBorders>
              <w:top w:val="single" w:sz="4" w:space="0" w:color="000000"/>
              <w:left w:val="single" w:sz="4" w:space="0" w:color="000000"/>
              <w:bottom w:val="single" w:sz="4" w:space="0" w:color="000000"/>
              <w:right w:val="single" w:sz="4" w:space="0" w:color="000000"/>
            </w:tcBorders>
            <w:shd w:color="auto" w:fill="C5E0B3"/>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Committee</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Name</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Email</w:t>
            </w:r>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Bylaws</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Adaline Brown, RHIT, CCS,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10">
              <w:r>
                <w:rPr>
                  <w:rStyle w:val="InternetLink"/>
                  <w:rFonts w:eastAsia="Calibri" w:cs="Arial" w:ascii="Arial" w:hAnsi="Arial"/>
                  <w:color w:val="0000FF"/>
                  <w:sz w:val="20"/>
                  <w:szCs w:val="20"/>
                  <w:u w:val="single"/>
                </w:rPr>
                <w:t>abrown@q-centrix.com</w:t>
              </w:r>
            </w:hyperlink>
          </w:p>
        </w:tc>
      </w:tr>
      <w:tr>
        <w:trPr/>
        <w:tc>
          <w:tcPr>
            <w:tcW w:w="2717"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Education</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Kimberly Swing,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hyperlink r:id="rId11">
              <w:r>
                <w:rPr>
                  <w:rStyle w:val="InternetLink"/>
                  <w:rFonts w:eastAsia="Calibri" w:cs="Arial" w:ascii="Arial" w:hAnsi="Arial"/>
                  <w:color w:val="0000FF"/>
                  <w:sz w:val="20"/>
                  <w:szCs w:val="20"/>
                  <w:u w:val="single"/>
                </w:rPr>
                <w:t>kimberly.swing@duke.edu</w:t>
              </w:r>
            </w:hyperlink>
          </w:p>
        </w:tc>
      </w:tr>
      <w:tr>
        <w:trPr/>
        <w:tc>
          <w:tcPr>
            <w:tcW w:w="2717"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Karen Knight,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hyperlink r:id="rId12">
              <w:r>
                <w:rPr>
                  <w:rStyle w:val="InternetLink"/>
                  <w:rFonts w:eastAsia="Calibri" w:cs="Arial" w:ascii="Arial" w:hAnsi="Arial"/>
                  <w:color w:val="0000FF"/>
                  <w:sz w:val="20"/>
                  <w:szCs w:val="20"/>
                  <w:u w:val="single"/>
                </w:rPr>
                <w:t>karen.knight@duke.edu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Educational Scholarship</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Inez Inman, BS, RHIT,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hyperlink r:id="rId13">
              <w:r>
                <w:rPr>
                  <w:rFonts w:eastAsia="Calibri" w:cs="Arial" w:ascii="Arial" w:hAnsi="Arial"/>
                  <w:color w:val="0000FF"/>
                  <w:sz w:val="20"/>
                  <w:szCs w:val="20"/>
                  <w:u w:val="single"/>
                </w:rPr>
                <w:t>iinman@wakehealth.edu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ANCCR Resource Manual</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Ruth Maranda, LPN,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14">
              <w:r>
                <w:rPr>
                  <w:rStyle w:val="InternetLink"/>
                  <w:rFonts w:eastAsia="Calibri" w:cs="Arial" w:ascii="Arial" w:hAnsi="Arial"/>
                  <w:color w:val="0000FF"/>
                  <w:sz w:val="20"/>
                  <w:szCs w:val="20"/>
                  <w:u w:val="single"/>
                </w:rPr>
                <w:t>ruth.maranda@dhhs.nc.gov</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Facebook Administrator</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Angela Rodriguez,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15">
              <w:r>
                <w:rPr>
                  <w:rStyle w:val="InternetLink"/>
                  <w:rFonts w:eastAsia="Calibri" w:cs="Arial" w:ascii="Arial" w:hAnsi="Arial"/>
                  <w:color w:val="0000FF"/>
                  <w:sz w:val="20"/>
                  <w:szCs w:val="20"/>
                  <w:u w:val="single"/>
                </w:rPr>
                <w:t>angela.rodriguez@mercy.net</w:t>
              </w:r>
            </w:hyperlink>
          </w:p>
        </w:tc>
      </w:tr>
      <w:tr>
        <w:trPr/>
        <w:tc>
          <w:tcPr>
            <w:tcW w:w="2717"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Grants &amp; Vendors</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Melanie Rogan,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hyperlink r:id="rId16">
              <w:r>
                <w:rPr>
                  <w:rStyle w:val="InternetLink"/>
                  <w:rFonts w:eastAsia="Calibri" w:cs="Arial" w:ascii="Arial" w:hAnsi="Arial"/>
                  <w:color w:val="0000FF"/>
                  <w:sz w:val="20"/>
                  <w:szCs w:val="20"/>
                  <w:u w:val="single"/>
                </w:rPr>
                <w:t>mrogan@mycrstar.com</w:t>
              </w:r>
            </w:hyperlink>
          </w:p>
        </w:tc>
      </w:tr>
      <w:tr>
        <w:trPr/>
        <w:tc>
          <w:tcPr>
            <w:tcW w:w="2717"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Allison Shelor,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hyperlink r:id="rId17">
              <w:r>
                <w:rPr>
                  <w:rStyle w:val="InternetLink"/>
                  <w:rFonts w:eastAsia="Calibri" w:cs="Arial" w:ascii="Arial" w:hAnsi="Arial"/>
                  <w:color w:val="0000FF"/>
                  <w:sz w:val="20"/>
                  <w:szCs w:val="20"/>
                  <w:u w:val="single"/>
                </w:rPr>
                <w:t>allison.shelor@unchealth.unc.edu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Historian</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Deborah Poovey,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color w:val="0000FF"/>
                <w:sz w:val="20"/>
                <w:szCs w:val="20"/>
                <w:u w:val="single"/>
              </w:rPr>
              <w:t>dpoovey7@gmail.com</w:t>
            </w:r>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Membership</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Jenean Burris, RHIT,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18">
              <w:r>
                <w:rPr>
                  <w:rStyle w:val="InternetLink"/>
                  <w:rFonts w:eastAsia="Calibri" w:cs="Arial" w:ascii="Arial" w:hAnsi="Arial"/>
                  <w:color w:val="0000FF"/>
                  <w:sz w:val="20"/>
                  <w:szCs w:val="20"/>
                  <w:u w:val="single"/>
                </w:rPr>
                <w:t>jburris@wakehealth.edu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Nominating</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Isaiah Zipple, CTR</w:t>
            </w:r>
          </w:p>
        </w:tc>
        <w:tc>
          <w:tcPr>
            <w:tcW w:w="3634" w:type="dxa"/>
            <w:tcBorders>
              <w:top w:val="single" w:sz="4" w:space="0" w:color="000000"/>
              <w:left w:val="single" w:sz="4" w:space="0" w:color="000000"/>
              <w:bottom w:val="single" w:sz="4" w:space="0" w:color="000000"/>
              <w:right w:val="single" w:sz="4" w:space="0" w:color="000000"/>
            </w:tcBorders>
          </w:tcPr>
          <w:p>
            <w:pPr>
              <w:pStyle w:val="NoSpacing"/>
              <w:bidi w:val="0"/>
              <w:ind w:left="0" w:right="0" w:hanging="0"/>
              <w:rPr/>
            </w:pPr>
            <w:hyperlink r:id="rId19">
              <w:r>
                <w:rPr>
                  <w:rStyle w:val="InternetLink"/>
                  <w:rFonts w:cs="Arial" w:ascii="Arial" w:hAnsi="Arial"/>
                  <w:color w:val="0000FF"/>
                  <w:sz w:val="20"/>
                  <w:szCs w:val="20"/>
                  <w:u w:val="single"/>
                </w:rPr>
                <w:t>isaiah.zipple@unchealth.unc.edu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Program Director</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Kelly Lowrance, RHIT,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20">
              <w:r>
                <w:rPr>
                  <w:rStyle w:val="InternetLink"/>
                  <w:rFonts w:eastAsia="Calibri" w:cs="Arial" w:ascii="Arial" w:hAnsi="Arial"/>
                  <w:color w:val="0000FF"/>
                  <w:sz w:val="20"/>
                  <w:szCs w:val="20"/>
                  <w:u w:val="single"/>
                </w:rPr>
                <w:t>kalowrance@novanthealth.org</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Publications</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Inez Inman, BS, RHIT,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21">
              <w:r>
                <w:rPr>
                  <w:rFonts w:eastAsia="Calibri" w:cs="Arial" w:ascii="Arial" w:hAnsi="Arial"/>
                  <w:color w:val="0000FF"/>
                  <w:sz w:val="20"/>
                  <w:szCs w:val="20"/>
                  <w:u w:val="single"/>
                </w:rPr>
                <w:t>iinman@wakehealth.edu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Web Site Coordinator</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Cathy Rimmer, BA, MDiv,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22">
              <w:r>
                <w:rPr>
                  <w:rFonts w:eastAsia="Calibri" w:cs="Arial" w:ascii="Arial" w:hAnsi="Arial"/>
                  <w:color w:val="0000FF"/>
                  <w:sz w:val="20"/>
                  <w:szCs w:val="20"/>
                  <w:u w:val="single"/>
                </w:rPr>
                <w:t>ccrimmer@novanthealth.org</w:t>
              </w:r>
            </w:hyperlink>
          </w:p>
        </w:tc>
      </w:tr>
      <w:tr>
        <w:trPr/>
        <w:tc>
          <w:tcPr>
            <w:tcW w:w="2717"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Ways &amp; Means</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Kisha Raynor,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hyperlink r:id="rId23">
              <w:r>
                <w:rPr>
                  <w:rStyle w:val="InternetLink"/>
                  <w:rFonts w:eastAsia="Calibri" w:cs="Arial" w:ascii="Arial" w:hAnsi="Arial"/>
                  <w:color w:val="0000FF"/>
                  <w:sz w:val="20"/>
                  <w:szCs w:val="20"/>
                  <w:u w:val="single"/>
                </w:rPr>
                <w:t>kisha.raynor@carolinashealthcare.org</w:t>
              </w:r>
            </w:hyperlink>
          </w:p>
        </w:tc>
      </w:tr>
      <w:tr>
        <w:trPr/>
        <w:tc>
          <w:tcPr>
            <w:tcW w:w="2717"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Kim Maloney Bobbitt, BS, CTR</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color w:val="0000FF"/>
                <w:sz w:val="20"/>
                <w:szCs w:val="20"/>
                <w:u w:val="single"/>
              </w:rPr>
              <w:t>kmaloney-bobbitt@novanthealth.org</w:t>
            </w:r>
          </w:p>
        </w:tc>
      </w:tr>
      <w:tr>
        <w:trPr/>
        <w:tc>
          <w:tcPr>
            <w:tcW w:w="2717" w:type="dxa"/>
            <w:tcBorders>
              <w:top w:val="single" w:sz="4" w:space="0" w:color="000000"/>
              <w:left w:val="single" w:sz="4" w:space="0" w:color="000000"/>
              <w:bottom w:val="single" w:sz="4" w:space="0" w:color="000000"/>
              <w:right w:val="single" w:sz="4" w:space="0" w:color="000000"/>
            </w:tcBorders>
            <w:shd w:color="auto" w:fill="C5E0B3"/>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225" w:type="dxa"/>
            <w:tcBorders>
              <w:top w:val="single" w:sz="4" w:space="0" w:color="000000"/>
              <w:left w:val="single" w:sz="4" w:space="0" w:color="000000"/>
              <w:bottom w:val="single" w:sz="4" w:space="0" w:color="000000"/>
              <w:right w:val="single" w:sz="4" w:space="0" w:color="000000"/>
            </w:tcBorders>
            <w:shd w:color="auto" w:fill="C5E0B3"/>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c>
          <w:tcPr>
            <w:tcW w:w="3634" w:type="dxa"/>
            <w:tcBorders>
              <w:top w:val="single" w:sz="4" w:space="0" w:color="000000"/>
              <w:left w:val="single" w:sz="4" w:space="0" w:color="000000"/>
              <w:bottom w:val="single" w:sz="4" w:space="0" w:color="000000"/>
              <w:right w:val="single" w:sz="4" w:space="0" w:color="000000"/>
            </w:tcBorders>
            <w:shd w:color="auto" w:fill="C5E0B3"/>
          </w:tcPr>
          <w:p>
            <w:pPr>
              <w:pStyle w:val="Normal"/>
              <w:tabs>
                <w:tab w:val="clear" w:pos="720"/>
              </w:tabs>
              <w:bidi w:val="0"/>
              <w:ind w:left="0" w:right="0" w:hanging="0"/>
              <w:rPr>
                <w:rFonts w:ascii="Arial" w:hAnsi="Arial" w:eastAsia="Calibri" w:cs="Arial"/>
                <w:sz w:val="20"/>
                <w:szCs w:val="20"/>
              </w:rPr>
            </w:pPr>
            <w:r>
              <w:rPr>
                <w:rFonts w:eastAsia="Calibri" w:cs="Arial" w:ascii="Arial" w:hAnsi="Arial"/>
                <w:sz w:val="20"/>
                <w:szCs w:val="20"/>
              </w:rPr>
            </w:r>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Liaisons</w:t>
            </w:r>
          </w:p>
        </w:tc>
        <w:tc>
          <w:tcPr>
            <w:tcW w:w="322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Name</w:t>
            </w:r>
          </w:p>
        </w:tc>
        <w:tc>
          <w:tcPr>
            <w:tcW w:w="363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jc w:val="center"/>
              <w:rPr/>
            </w:pPr>
            <w:r>
              <w:rPr>
                <w:rFonts w:eastAsia="Calibri" w:cs="Arial" w:ascii="Arial" w:hAnsi="Arial"/>
                <w:b/>
                <w:sz w:val="20"/>
                <w:szCs w:val="20"/>
                <w:u w:val="single"/>
              </w:rPr>
              <w:t>Email</w:t>
            </w:r>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A4C Liaison</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Kathleen Foote,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24">
              <w:r>
                <w:rPr>
                  <w:rStyle w:val="InternetLink"/>
                  <w:rFonts w:eastAsia="Calibri" w:cs="Arial" w:ascii="Arial" w:hAnsi="Arial"/>
                  <w:color w:val="0000FF"/>
                  <w:sz w:val="20"/>
                  <w:szCs w:val="20"/>
                  <w:u w:val="single"/>
                </w:rPr>
                <w:t>kathleen.foote@unchealth.unc.edu</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NCRA Liaison</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Angela Rodriguez,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25">
              <w:r>
                <w:rPr>
                  <w:rStyle w:val="InternetLink"/>
                  <w:rFonts w:eastAsia="Calibri" w:cs="Arial" w:ascii="Arial" w:hAnsi="Arial"/>
                  <w:color w:val="0000FF"/>
                  <w:sz w:val="20"/>
                  <w:szCs w:val="20"/>
                  <w:u w:val="single"/>
                </w:rPr>
                <w:t>angela.rodriguez@mercy.net</w:t>
              </w:r>
            </w:hyperlink>
          </w:p>
        </w:tc>
      </w:tr>
      <w:tr>
        <w:trPr/>
        <w:tc>
          <w:tcPr>
            <w:tcW w:w="2717"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NC CCR Liaison</w:t>
            </w:r>
          </w:p>
        </w:tc>
        <w:tc>
          <w:tcPr>
            <w:tcW w:w="322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Melissa Pearson, CTR</w:t>
            </w:r>
          </w:p>
        </w:tc>
        <w:tc>
          <w:tcPr>
            <w:tcW w:w="363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hyperlink r:id="rId26">
              <w:r>
                <w:rPr>
                  <w:rStyle w:val="InternetLink"/>
                  <w:rFonts w:eastAsia="Calibri" w:cs="Arial" w:ascii="Arial" w:hAnsi="Arial"/>
                  <w:color w:val="0000FF"/>
                  <w:sz w:val="20"/>
                  <w:szCs w:val="20"/>
                  <w:u w:val="single"/>
                </w:rPr>
                <w:t>melissa.pearson@dhhs.nc.gov</w:t>
              </w:r>
            </w:hyperlink>
          </w:p>
        </w:tc>
      </w:tr>
    </w:tbl>
    <w:p>
      <w:pPr>
        <w:pStyle w:val="Normal"/>
        <w:tabs>
          <w:tab w:val="clear" w:pos="720"/>
          <w:tab w:val="left" w:pos="4788" w:leader="none"/>
        </w:tabs>
        <w:bidi w:val="0"/>
        <w:ind w:left="0" w:right="0" w:hanging="0"/>
        <w:rPr/>
      </w:pPr>
      <w:r>
        <w:rPr>
          <w:rFonts w:cs="Arial" w:ascii="Arial" w:hAnsi="Arial"/>
          <w:sz w:val="22"/>
          <w:szCs w:val="22"/>
        </w:rPr>
        <w:tab/>
      </w:r>
    </w:p>
    <w:p>
      <w:pPr>
        <w:pStyle w:val="Normal"/>
        <w:bidi w:val="0"/>
        <w:ind w:left="0" w:right="0" w:hanging="0"/>
        <w:jc w:val="center"/>
        <w:rPr>
          <w:rFonts w:ascii="Arial" w:hAnsi="Arial" w:cs="Arial"/>
          <w:b/>
          <w:b/>
          <w:color w:val="00B050"/>
          <w:sz w:val="28"/>
          <w:szCs w:val="22"/>
        </w:rPr>
      </w:pPr>
      <w:r>
        <w:rPr>
          <w:rFonts w:cs="Arial" w:ascii="Arial" w:hAnsi="Arial"/>
          <w:b/>
          <w:color w:val="00B050"/>
          <w:sz w:val="28"/>
          <w:szCs w:val="22"/>
        </w:rPr>
      </w:r>
    </w:p>
    <w:p>
      <w:pPr>
        <w:pStyle w:val="Normal"/>
        <w:bidi w:val="0"/>
        <w:ind w:left="0" w:right="0" w:hanging="0"/>
        <w:jc w:val="center"/>
        <w:rPr>
          <w:rFonts w:ascii="Arial" w:hAnsi="Arial" w:cs="Arial"/>
          <w:b/>
          <w:b/>
          <w:color w:val="00B050"/>
          <w:sz w:val="28"/>
          <w:szCs w:val="22"/>
        </w:rPr>
      </w:pPr>
      <w:r>
        <w:rPr>
          <w:rFonts w:cs="Arial" w:ascii="Arial" w:hAnsi="Arial"/>
          <w:b/>
          <w:color w:val="00B050"/>
          <w:sz w:val="28"/>
          <w:szCs w:val="22"/>
        </w:rPr>
      </w:r>
    </w:p>
    <w:p>
      <w:pPr>
        <w:pStyle w:val="Normal"/>
        <w:bidi w:val="0"/>
        <w:ind w:left="0" w:right="0" w:hanging="0"/>
        <w:jc w:val="center"/>
        <w:rPr>
          <w:rFonts w:ascii="Arial" w:hAnsi="Arial" w:cs="Arial"/>
          <w:b/>
          <w:b/>
          <w:color w:val="00B050"/>
          <w:sz w:val="28"/>
          <w:szCs w:val="22"/>
        </w:rPr>
      </w:pPr>
      <w:r>
        <w:rPr>
          <w:rFonts w:cs="Arial" w:ascii="Arial" w:hAnsi="Arial"/>
          <w:b/>
          <w:color w:val="00B050"/>
          <w:sz w:val="28"/>
          <w:szCs w:val="22"/>
        </w:rPr>
      </w:r>
    </w:p>
    <w:p>
      <w:pPr>
        <w:pStyle w:val="Normal"/>
        <w:bidi w:val="0"/>
        <w:ind w:left="0" w:right="0" w:hanging="0"/>
        <w:jc w:val="center"/>
        <w:rPr/>
      </w:pPr>
      <w:r>
        <w:rPr>
          <w:rFonts w:cs="Arial" w:ascii="Arial" w:hAnsi="Arial"/>
          <w:b/>
          <w:color w:val="00B050"/>
          <w:sz w:val="28"/>
          <w:szCs w:val="22"/>
        </w:rPr>
        <w:t>Upcoming Annual Educational Conferences</w:t>
      </w:r>
    </w:p>
    <w:p>
      <w:pPr>
        <w:pStyle w:val="Normal"/>
        <w:bidi w:val="0"/>
        <w:ind w:left="0" w:right="0" w:hanging="0"/>
        <w:jc w:val="center"/>
        <w:rPr>
          <w:rFonts w:ascii="Arial" w:hAnsi="Arial" w:cs="Arial"/>
          <w:color w:val="00B050"/>
        </w:rPr>
      </w:pPr>
      <w:r>
        <w:rPr>
          <w:rFonts w:cs="Arial" w:ascii="Arial" w:hAnsi="Arial"/>
          <w:color w:val="00B050"/>
        </w:rPr>
      </w:r>
    </w:p>
    <w:p>
      <w:pPr>
        <w:pStyle w:val="Normal"/>
        <w:bidi w:val="0"/>
        <w:ind w:left="0" w:right="0" w:hanging="0"/>
        <w:jc w:val="center"/>
        <w:rPr/>
      </w:pPr>
      <w:r>
        <w:rPr>
          <w:rFonts w:cs="Arial" w:ascii="Arial" w:hAnsi="Arial"/>
          <w:b/>
          <w:color w:val="00B050"/>
        </w:rPr>
        <w:t>ANCCR Educational Fall Meeting</w:t>
      </w:r>
    </w:p>
    <w:p>
      <w:pPr>
        <w:pStyle w:val="Normal"/>
        <w:bidi w:val="0"/>
        <w:ind w:left="0" w:right="0" w:hanging="0"/>
        <w:jc w:val="center"/>
        <w:rPr/>
      </w:pPr>
      <w:r>
        <w:rPr>
          <w:rFonts w:cs="Arial" w:ascii="Arial" w:hAnsi="Arial"/>
          <w:b/>
          <w:color w:val="00B050"/>
        </w:rPr>
        <w:t>CANCELED</w:t>
      </w:r>
    </w:p>
    <w:p>
      <w:pPr>
        <w:pStyle w:val="Normal"/>
        <w:bidi w:val="0"/>
        <w:ind w:left="0" w:right="0" w:hanging="0"/>
        <w:jc w:val="center"/>
        <w:rPr/>
      </w:pPr>
      <w:r>
        <w:rPr>
          <w:rFonts w:cs="Arial" w:ascii="Arial" w:hAnsi="Arial"/>
          <w:sz w:val="22"/>
          <w:szCs w:val="22"/>
        </w:rPr>
        <w:t>2020 – Oct 14-16, Flat Rock, NC</w:t>
      </w:r>
    </w:p>
    <w:p>
      <w:pPr>
        <w:pStyle w:val="Normal"/>
        <w:bidi w:val="0"/>
        <w:ind w:left="0" w:right="0" w:hanging="0"/>
        <w:jc w:val="center"/>
        <w:rPr/>
      </w:pPr>
      <w:r>
        <w:rPr>
          <w:rFonts w:cs="Arial" w:ascii="Arial" w:hAnsi="Arial"/>
          <w:sz w:val="22"/>
          <w:szCs w:val="22"/>
        </w:rPr>
        <w:t>Re-scheduled from Sept 23-25, 2020</w:t>
      </w:r>
    </w:p>
    <w:p>
      <w:pPr>
        <w:pStyle w:val="Normal"/>
        <w:bidi w:val="0"/>
        <w:ind w:left="0" w:right="0" w:hanging="0"/>
        <w:jc w:val="center"/>
        <w:rPr/>
      </w:pPr>
      <w:r>
        <w:rPr>
          <w:rFonts w:cs="Arial" w:ascii="Arial" w:hAnsi="Arial"/>
          <w:sz w:val="22"/>
          <w:szCs w:val="22"/>
        </w:rPr>
        <w:t xml:space="preserve">The Lodge at Flat Rock </w:t>
      </w:r>
    </w:p>
    <w:p>
      <w:pPr>
        <w:pStyle w:val="Normal"/>
        <w:bidi w:val="0"/>
        <w:ind w:left="0" w:right="0" w:hanging="0"/>
        <w:jc w:val="center"/>
        <w:rPr>
          <w:rFonts w:ascii="Arial" w:hAnsi="Arial" w:cs="Arial"/>
          <w:color w:val="00B050"/>
          <w:sz w:val="22"/>
          <w:szCs w:val="22"/>
        </w:rPr>
      </w:pPr>
      <w:r>
        <w:rPr>
          <w:rFonts w:cs="Arial" w:ascii="Arial" w:hAnsi="Arial"/>
          <w:color w:val="00B050"/>
          <w:sz w:val="22"/>
          <w:szCs w:val="22"/>
        </w:rPr>
      </w:r>
    </w:p>
    <w:p>
      <w:pPr>
        <w:pStyle w:val="Normal"/>
        <w:bidi w:val="0"/>
        <w:ind w:left="0" w:right="0" w:hanging="0"/>
        <w:jc w:val="center"/>
        <w:rPr/>
      </w:pPr>
      <w:r>
        <w:rPr>
          <w:rFonts w:cs="Arial" w:ascii="Arial" w:hAnsi="Arial"/>
          <w:b/>
          <w:color w:val="00B050"/>
          <w:szCs w:val="22"/>
        </w:rPr>
        <w:t>NCRA Educational Conference</w:t>
      </w:r>
    </w:p>
    <w:p>
      <w:pPr>
        <w:pStyle w:val="Normal"/>
        <w:bidi w:val="0"/>
        <w:ind w:left="0" w:right="0" w:hanging="0"/>
        <w:jc w:val="center"/>
        <w:rPr/>
      </w:pPr>
      <w:r>
        <w:rPr>
          <w:rFonts w:cs="Arial" w:ascii="Arial" w:hAnsi="Arial"/>
          <w:b/>
          <w:color w:val="00B050"/>
          <w:szCs w:val="22"/>
        </w:rPr>
        <w:t>VIRTUAL</w:t>
      </w:r>
    </w:p>
    <w:p>
      <w:pPr>
        <w:pStyle w:val="Normal"/>
        <w:bidi w:val="0"/>
        <w:ind w:left="0" w:right="0" w:hanging="0"/>
        <w:jc w:val="center"/>
        <w:rPr/>
      </w:pPr>
      <w:r>
        <w:rPr>
          <w:rFonts w:cs="Arial" w:ascii="Arial" w:hAnsi="Arial"/>
          <w:sz w:val="22"/>
          <w:szCs w:val="22"/>
        </w:rPr>
        <w:t>2020 – Sept 20-23, Orlando, FL</w:t>
      </w:r>
    </w:p>
    <w:p>
      <w:pPr>
        <w:pStyle w:val="Normal"/>
        <w:bidi w:val="0"/>
        <w:ind w:left="0" w:right="0" w:hanging="0"/>
        <w:jc w:val="center"/>
        <w:rPr/>
      </w:pPr>
      <w:r>
        <w:rPr>
          <w:rFonts w:cs="Arial" w:ascii="Arial" w:hAnsi="Arial"/>
          <w:sz w:val="22"/>
          <w:szCs w:val="22"/>
        </w:rPr>
        <w:t>Re-scheduled from May 31-June 3, 2020</w:t>
      </w:r>
      <w:r>
        <w:rPr/>
        <w:br/>
      </w:r>
      <w:r>
        <w:rPr>
          <w:rFonts w:cs="Arial" w:ascii="Arial" w:hAnsi="Arial"/>
          <w:sz w:val="22"/>
          <w:szCs w:val="22"/>
        </w:rPr>
        <w:t>2021 - April 14-17, Indianapolis, IN</w:t>
      </w:r>
      <w:r>
        <w:rPr/>
        <w:br/>
      </w:r>
      <w:r>
        <w:rPr>
          <w:rFonts w:cs="Arial" w:ascii="Arial" w:hAnsi="Arial"/>
          <w:sz w:val="22"/>
          <w:szCs w:val="22"/>
        </w:rPr>
        <w:t>2022 - April 6-9, Washington, DC</w:t>
      </w:r>
      <w:r>
        <w:rPr>
          <w:rFonts w:cs="Arial" w:ascii="Arial" w:hAnsi="Arial"/>
          <w:color w:val="333333"/>
          <w:sz w:val="22"/>
          <w:szCs w:val="22"/>
        </w:rPr>
        <w:t> </w:t>
      </w:r>
    </w:p>
    <w:p>
      <w:pPr>
        <w:pStyle w:val="Normal"/>
        <w:bidi w:val="0"/>
        <w:ind w:left="0" w:right="0" w:hanging="0"/>
        <w:rPr>
          <w:rFonts w:ascii="Arial" w:hAnsi="Arial" w:cs="Arial"/>
          <w:sz w:val="22"/>
          <w:szCs w:val="22"/>
        </w:rPr>
      </w:pPr>
      <w:r>
        <w:rPr>
          <w:rFonts w:cs="Arial" w:ascii="Arial" w:hAnsi="Arial"/>
          <w:sz w:val="22"/>
          <w:szCs w:val="22"/>
        </w:rPr>
      </w:r>
    </w:p>
    <w:p>
      <w:pPr>
        <w:pStyle w:val="Normal"/>
        <w:bidi w:val="0"/>
        <w:ind w:left="0" w:right="0" w:hanging="0"/>
        <w:rPr>
          <w:rFonts w:ascii="Arial" w:hAnsi="Arial" w:cs="Arial"/>
          <w:sz w:val="22"/>
          <w:szCs w:val="22"/>
        </w:rPr>
      </w:pPr>
      <w:r>
        <w:rPr>
          <w:rFonts w:cs="Arial" w:ascii="Arial" w:hAnsi="Arial"/>
          <w:sz w:val="22"/>
          <w:szCs w:val="22"/>
        </w:rPr>
      </w:r>
    </w:p>
    <w:p>
      <w:pPr>
        <w:pStyle w:val="Normal"/>
        <w:bidi w:val="0"/>
        <w:ind w:left="0" w:right="0" w:hanging="0"/>
        <w:rPr>
          <w:rFonts w:ascii="Arial" w:hAnsi="Arial" w:cs="Arial"/>
          <w:sz w:val="22"/>
          <w:szCs w:val="22"/>
        </w:rPr>
      </w:pPr>
      <w:r>
        <w:rPr>
          <w:rFonts w:cs="Arial" w:ascii="Arial" w:hAnsi="Arial"/>
          <w:sz w:val="22"/>
          <w:szCs w:val="22"/>
        </w:rPr>
      </w:r>
    </w:p>
    <w:p>
      <w:pPr>
        <w:pStyle w:val="Normal"/>
        <w:bidi w:val="0"/>
        <w:ind w:left="0" w:right="0" w:hanging="0"/>
        <w:rPr/>
      </w:pPr>
      <w:r>
        <w:rPr>
          <w:rFonts w:eastAsia="Century Gothic" w:cs="Arial" w:ascii="Arial" w:hAnsi="Arial"/>
          <w:b/>
        </w:rPr>
        <w:t>TREASURER REPORT</w:t>
      </w:r>
    </w:p>
    <w:p>
      <w:pPr>
        <w:pStyle w:val="Normal"/>
        <w:bidi w:val="0"/>
        <w:ind w:left="0" w:right="0" w:hanging="0"/>
        <w:rPr/>
      </w:pPr>
      <w:r>
        <w:rPr>
          <w:rFonts w:eastAsia="Century Gothic" w:cs="Arial" w:ascii="Arial" w:hAnsi="Arial"/>
          <w:b/>
        </w:rPr>
        <w:t>Christine Smith, CTR</w:t>
      </w:r>
    </w:p>
    <w:p>
      <w:pPr>
        <w:pStyle w:val="Normal"/>
        <w:bidi w:val="0"/>
        <w:ind w:left="0" w:right="0" w:hanging="0"/>
        <w:rPr>
          <w:rFonts w:ascii="Arial" w:hAnsi="Arial" w:eastAsia="Calibri" w:cs="Arial"/>
          <w:b/>
          <w:b/>
          <w:szCs w:val="22"/>
        </w:rPr>
      </w:pPr>
      <w:r>
        <w:rPr>
          <w:rFonts w:eastAsia="Calibri" w:cs="Arial" w:ascii="Arial" w:hAnsi="Arial"/>
          <w:b/>
          <w:szCs w:val="22"/>
        </w:rPr>
      </w:r>
    </w:p>
    <w:tbl>
      <w:tblPr>
        <w:tblW w:w="7670" w:type="dxa"/>
        <w:jc w:val="left"/>
        <w:tblInd w:w="-15" w:type="dxa"/>
        <w:tblCellMar>
          <w:top w:w="0" w:type="dxa"/>
          <w:left w:w="108" w:type="dxa"/>
          <w:bottom w:w="0" w:type="dxa"/>
          <w:right w:w="108" w:type="dxa"/>
        </w:tblCellMar>
      </w:tblPr>
      <w:tblGrid>
        <w:gridCol w:w="4784"/>
        <w:gridCol w:w="185"/>
        <w:gridCol w:w="1525"/>
        <w:gridCol w:w="1176"/>
      </w:tblGrid>
      <w:tr>
        <w:trPr>
          <w:trHeight w:val="300" w:hRule="atLeast"/>
        </w:trPr>
        <w:tc>
          <w:tcPr>
            <w:tcW w:w="4969" w:type="dxa"/>
            <w:gridSpan w:val="2"/>
            <w:tcBorders/>
            <w:vAlign w:val="bottom"/>
          </w:tcPr>
          <w:p>
            <w:pPr>
              <w:pStyle w:val="Normal"/>
              <w:tabs>
                <w:tab w:val="clear" w:pos="720"/>
              </w:tabs>
              <w:bidi w:val="0"/>
              <w:ind w:left="0" w:right="0" w:hanging="0"/>
              <w:rPr/>
            </w:pPr>
            <w:r>
              <w:rPr>
                <w:rFonts w:cs="Arial" w:ascii="Arial" w:hAnsi="Arial"/>
                <w:color w:val="000000"/>
                <w:sz w:val="22"/>
                <w:szCs w:val="22"/>
              </w:rPr>
              <w:t>ANCCR 2020 First Quarter Treasurer Report</w:t>
            </w:r>
          </w:p>
        </w:tc>
        <w:tc>
          <w:tcPr>
            <w:tcW w:w="2701" w:type="dxa"/>
            <w:gridSpan w:val="2"/>
            <w:tcBorders/>
            <w:vAlign w:val="bottom"/>
          </w:tcPr>
          <w:p>
            <w:pPr>
              <w:pStyle w:val="Normal"/>
              <w:tabs>
                <w:tab w:val="clear" w:pos="720"/>
              </w:tabs>
              <w:bidi w:val="0"/>
              <w:ind w:left="0" w:right="0" w:hanging="0"/>
              <w:rPr>
                <w:rFonts w:ascii="Arial" w:hAnsi="Arial" w:cs="Arial"/>
                <w:color w:val="000000"/>
                <w:sz w:val="22"/>
                <w:szCs w:val="22"/>
              </w:rPr>
            </w:pPr>
            <w:r>
              <w:rPr>
                <w:rFonts w:cs="Arial" w:ascii="Arial" w:hAnsi="Arial"/>
                <w:color w:val="000000"/>
                <w:sz w:val="22"/>
                <w:szCs w:val="22"/>
              </w:rPr>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Beginning Balance 04/01/2020: </w:t>
            </w:r>
          </w:p>
        </w:tc>
        <w:tc>
          <w:tcPr>
            <w:tcW w:w="2701" w:type="dxa"/>
            <w:gridSpan w:val="2"/>
            <w:tcBorders/>
            <w:vAlign w:val="bottom"/>
          </w:tcPr>
          <w:p>
            <w:pPr>
              <w:pStyle w:val="Normal"/>
              <w:bidi w:val="0"/>
              <w:ind w:left="0" w:right="0" w:hanging="0"/>
              <w:rPr>
                <w:rFonts w:ascii="Arial" w:hAnsi="Arial" w:cs="Arial"/>
                <w:color w:val="000000"/>
                <w:sz w:val="22"/>
                <w:szCs w:val="22"/>
              </w:rPr>
            </w:pPr>
            <w:r>
              <w:rPr>
                <w:rFonts w:cs="Arial" w:ascii="Arial" w:hAnsi="Arial"/>
                <w:color w:val="000000"/>
                <w:sz w:val="22"/>
                <w:szCs w:val="22"/>
              </w:rPr>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Checking :</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26,431.58 </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Money Market:</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21,605.60 </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Total:</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48,037.18 </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Deposits:</w:t>
            </w:r>
          </w:p>
        </w:tc>
        <w:tc>
          <w:tcPr>
            <w:tcW w:w="2701" w:type="dxa"/>
            <w:gridSpan w:val="2"/>
            <w:tcBorders/>
            <w:vAlign w:val="bottom"/>
          </w:tcPr>
          <w:p>
            <w:pPr>
              <w:pStyle w:val="Normal"/>
              <w:bidi w:val="0"/>
              <w:ind w:left="0" w:right="0" w:hanging="0"/>
              <w:rPr>
                <w:rFonts w:ascii="Arial" w:hAnsi="Arial" w:cs="Arial"/>
                <w:color w:val="000000"/>
                <w:sz w:val="22"/>
                <w:szCs w:val="22"/>
              </w:rPr>
            </w:pPr>
            <w:r>
              <w:rPr>
                <w:rFonts w:cs="Arial" w:ascii="Arial" w:hAnsi="Arial"/>
                <w:color w:val="000000"/>
                <w:sz w:val="22"/>
                <w:szCs w:val="22"/>
              </w:rPr>
            </w:r>
          </w:p>
        </w:tc>
      </w:tr>
      <w:tr>
        <w:trPr>
          <w:trHeight w:val="300" w:hRule="atLeast"/>
        </w:trPr>
        <w:tc>
          <w:tcPr>
            <w:tcW w:w="4969" w:type="dxa"/>
            <w:gridSpan w:val="2"/>
            <w:tcBorders/>
            <w:vAlign w:val="bottom"/>
          </w:tcPr>
          <w:p>
            <w:pPr>
              <w:pStyle w:val="Normal"/>
              <w:bidi w:val="0"/>
              <w:ind w:left="0" w:right="0" w:hanging="0"/>
              <w:jc w:val="right"/>
              <w:rPr/>
            </w:pPr>
            <w:r>
              <w:rPr>
                <w:rFonts w:cs="Arial" w:ascii="Arial" w:hAnsi="Arial"/>
                <w:color w:val="000000"/>
                <w:sz w:val="22"/>
                <w:szCs w:val="22"/>
              </w:rPr>
              <w:t>April</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150.00</w:t>
            </w:r>
          </w:p>
        </w:tc>
      </w:tr>
      <w:tr>
        <w:trPr>
          <w:trHeight w:val="300" w:hRule="atLeast"/>
        </w:trPr>
        <w:tc>
          <w:tcPr>
            <w:tcW w:w="4969" w:type="dxa"/>
            <w:gridSpan w:val="2"/>
            <w:tcBorders/>
            <w:vAlign w:val="bottom"/>
          </w:tcPr>
          <w:p>
            <w:pPr>
              <w:pStyle w:val="Normal"/>
              <w:bidi w:val="0"/>
              <w:ind w:left="0" w:right="0" w:hanging="0"/>
              <w:jc w:val="right"/>
              <w:rPr/>
            </w:pPr>
            <w:r>
              <w:rPr>
                <w:rFonts w:cs="Arial" w:ascii="Arial" w:hAnsi="Arial"/>
                <w:color w:val="000000"/>
                <w:sz w:val="22"/>
                <w:szCs w:val="22"/>
              </w:rPr>
              <w:t>May</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425.00 </w:t>
            </w:r>
          </w:p>
        </w:tc>
      </w:tr>
      <w:tr>
        <w:trPr>
          <w:trHeight w:val="300" w:hRule="atLeast"/>
        </w:trPr>
        <w:tc>
          <w:tcPr>
            <w:tcW w:w="4969" w:type="dxa"/>
            <w:gridSpan w:val="2"/>
            <w:tcBorders/>
            <w:vAlign w:val="bottom"/>
          </w:tcPr>
          <w:p>
            <w:pPr>
              <w:pStyle w:val="Normal"/>
              <w:bidi w:val="0"/>
              <w:ind w:left="0" w:right="0" w:hanging="0"/>
              <w:jc w:val="right"/>
              <w:rPr/>
            </w:pPr>
            <w:r>
              <w:rPr>
                <w:rFonts w:cs="Arial" w:ascii="Arial" w:hAnsi="Arial"/>
                <w:color w:val="000000"/>
                <w:sz w:val="22"/>
                <w:szCs w:val="22"/>
              </w:rPr>
              <w:t>June</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225.00 </w:t>
            </w:r>
          </w:p>
        </w:tc>
      </w:tr>
      <w:tr>
        <w:trPr>
          <w:trHeight w:val="300" w:hRule="atLeast"/>
        </w:trPr>
        <w:tc>
          <w:tcPr>
            <w:tcW w:w="4969" w:type="dxa"/>
            <w:gridSpan w:val="2"/>
            <w:tcBorders/>
            <w:vAlign w:val="bottom"/>
          </w:tcPr>
          <w:p>
            <w:pPr>
              <w:pStyle w:val="Normal"/>
              <w:tabs>
                <w:tab w:val="clear" w:pos="720"/>
              </w:tabs>
              <w:bidi w:val="0"/>
              <w:ind w:left="0" w:right="0" w:hanging="0"/>
              <w:jc w:val="right"/>
              <w:rPr/>
            </w:pPr>
            <w:r>
              <w:rPr>
                <w:rFonts w:cs="Arial" w:ascii="Arial" w:hAnsi="Arial"/>
                <w:color w:val="000000"/>
                <w:sz w:val="22"/>
                <w:szCs w:val="22"/>
              </w:rPr>
              <w:t>Membership dues income April-June</w:t>
            </w:r>
          </w:p>
        </w:tc>
        <w:tc>
          <w:tcPr>
            <w:tcW w:w="2701" w:type="dxa"/>
            <w:gridSpan w:val="2"/>
            <w:tcBorders/>
            <w:vAlign w:val="bottom"/>
          </w:tcPr>
          <w:p>
            <w:pPr>
              <w:pStyle w:val="Normal"/>
              <w:tabs>
                <w:tab w:val="clear" w:pos="720"/>
              </w:tabs>
              <w:bidi w:val="0"/>
              <w:ind w:left="0" w:right="0" w:hanging="0"/>
              <w:rPr/>
            </w:pPr>
            <w:r>
              <w:rPr>
                <w:rFonts w:cs="Arial" w:ascii="Arial" w:hAnsi="Arial"/>
                <w:color w:val="000000"/>
                <w:sz w:val="22"/>
                <w:szCs w:val="22"/>
              </w:rPr>
              <w:t xml:space="preserve">       </w:t>
            </w:r>
            <w:r>
              <w:rPr>
                <w:rFonts w:cs="Arial" w:ascii="Arial" w:hAnsi="Arial"/>
                <w:color w:val="000000"/>
                <w:sz w:val="22"/>
                <w:szCs w:val="22"/>
              </w:rPr>
              <w:t>800.00</w:t>
            </w:r>
          </w:p>
        </w:tc>
      </w:tr>
      <w:tr>
        <w:trPr>
          <w:trHeight w:val="300" w:hRule="atLeast"/>
        </w:trPr>
        <w:tc>
          <w:tcPr>
            <w:tcW w:w="4969" w:type="dxa"/>
            <w:gridSpan w:val="2"/>
            <w:tcBorders/>
            <w:vAlign w:val="bottom"/>
          </w:tcPr>
          <w:p>
            <w:pPr>
              <w:pStyle w:val="Normal"/>
              <w:bidi w:val="0"/>
              <w:ind w:left="0" w:right="0" w:hanging="0"/>
              <w:jc w:val="right"/>
              <w:rPr>
                <w:rFonts w:ascii="Arial" w:hAnsi="Arial" w:cs="Arial"/>
                <w:color w:val="000000"/>
                <w:sz w:val="22"/>
                <w:szCs w:val="22"/>
              </w:rPr>
            </w:pPr>
            <w:r>
              <w:rPr>
                <w:rFonts w:cs="Arial" w:ascii="Arial" w:hAnsi="Arial"/>
                <w:color w:val="000000"/>
                <w:sz w:val="22"/>
                <w:szCs w:val="22"/>
              </w:rPr>
            </w:r>
          </w:p>
        </w:tc>
        <w:tc>
          <w:tcPr>
            <w:tcW w:w="2701" w:type="dxa"/>
            <w:gridSpan w:val="2"/>
            <w:tcBorders/>
            <w:vAlign w:val="bottom"/>
          </w:tcPr>
          <w:p>
            <w:pPr>
              <w:pStyle w:val="Normal"/>
              <w:bidi w:val="0"/>
              <w:ind w:left="0" w:right="0" w:hanging="0"/>
              <w:rPr>
                <w:rFonts w:ascii="Arial" w:hAnsi="Arial" w:cs="Arial"/>
                <w:color w:val="000000"/>
                <w:sz w:val="22"/>
                <w:szCs w:val="22"/>
              </w:rPr>
            </w:pPr>
            <w:r>
              <w:rPr>
                <w:rFonts w:cs="Arial" w:ascii="Arial" w:hAnsi="Arial"/>
                <w:color w:val="000000"/>
                <w:sz w:val="22"/>
                <w:szCs w:val="22"/>
              </w:rPr>
            </w:r>
          </w:p>
        </w:tc>
      </w:tr>
      <w:tr>
        <w:trPr>
          <w:trHeight w:val="300" w:hRule="atLeast"/>
        </w:trPr>
        <w:tc>
          <w:tcPr>
            <w:tcW w:w="4969" w:type="dxa"/>
            <w:gridSpan w:val="2"/>
            <w:tcBorders/>
            <w:vAlign w:val="bottom"/>
          </w:tcPr>
          <w:p>
            <w:pPr>
              <w:pStyle w:val="Normal"/>
              <w:tabs>
                <w:tab w:val="clear" w:pos="720"/>
              </w:tabs>
              <w:bidi w:val="0"/>
              <w:ind w:left="0" w:right="0" w:hanging="0"/>
              <w:rPr/>
            </w:pPr>
            <w:r>
              <w:rPr>
                <w:rFonts w:cs="Arial" w:ascii="Arial" w:hAnsi="Arial"/>
                <w:color w:val="000000"/>
                <w:sz w:val="22"/>
                <w:szCs w:val="22"/>
              </w:rPr>
              <w:t>Expenses:</w:t>
            </w:r>
          </w:p>
          <w:p>
            <w:pPr>
              <w:pStyle w:val="Normal"/>
              <w:tabs>
                <w:tab w:val="clear" w:pos="720"/>
              </w:tabs>
              <w:bidi w:val="0"/>
              <w:ind w:left="0" w:right="0" w:hanging="0"/>
              <w:rPr>
                <w:rFonts w:ascii="Arial" w:hAnsi="Arial" w:cs="Arial"/>
                <w:color w:val="000000"/>
                <w:sz w:val="22"/>
                <w:szCs w:val="22"/>
              </w:rPr>
            </w:pPr>
            <w:r>
              <w:rPr>
                <w:rFonts w:cs="Arial" w:ascii="Arial" w:hAnsi="Arial"/>
                <w:color w:val="000000"/>
                <w:sz w:val="22"/>
                <w:szCs w:val="22"/>
              </w:rPr>
            </w:r>
          </w:p>
        </w:tc>
        <w:tc>
          <w:tcPr>
            <w:tcW w:w="2701" w:type="dxa"/>
            <w:gridSpan w:val="2"/>
            <w:tcBorders/>
            <w:vAlign w:val="bottom"/>
          </w:tcPr>
          <w:p>
            <w:pPr>
              <w:pStyle w:val="Normal"/>
              <w:tabs>
                <w:tab w:val="clear" w:pos="720"/>
              </w:tabs>
              <w:bidi w:val="0"/>
              <w:ind w:left="0" w:right="0" w:hanging="0"/>
              <w:rPr/>
            </w:pPr>
            <w:r>
              <w:rPr>
                <w:rFonts w:cs="Arial" w:ascii="Arial" w:hAnsi="Arial"/>
                <w:color w:val="000000"/>
                <w:sz w:val="22"/>
                <w:szCs w:val="22"/>
              </w:rPr>
              <w:t xml:space="preserve">          </w:t>
            </w:r>
            <w:r>
              <w:rPr>
                <w:rFonts w:cs="Arial" w:ascii="Arial" w:hAnsi="Arial"/>
                <w:color w:val="000000"/>
                <w:sz w:val="22"/>
                <w:szCs w:val="22"/>
              </w:rPr>
              <w:t>0.00</w:t>
            </w:r>
          </w:p>
        </w:tc>
      </w:tr>
      <w:tr>
        <w:trPr>
          <w:trHeight w:val="300" w:hRule="atLeast"/>
        </w:trPr>
        <w:tc>
          <w:tcPr>
            <w:tcW w:w="4969" w:type="dxa"/>
            <w:gridSpan w:val="2"/>
            <w:tcBorders/>
            <w:vAlign w:val="bottom"/>
          </w:tcPr>
          <w:p>
            <w:pPr>
              <w:pStyle w:val="Normal"/>
              <w:bidi w:val="0"/>
              <w:ind w:left="0" w:right="0" w:hanging="0"/>
              <w:rPr>
                <w:rFonts w:ascii="Arial" w:hAnsi="Arial" w:cs="Arial"/>
                <w:color w:val="000000"/>
                <w:sz w:val="22"/>
                <w:szCs w:val="22"/>
              </w:rPr>
            </w:pPr>
            <w:r>
              <w:rPr>
                <w:rFonts w:cs="Arial" w:ascii="Arial" w:hAnsi="Arial"/>
                <w:color w:val="000000"/>
                <w:sz w:val="22"/>
                <w:szCs w:val="22"/>
              </w:rPr>
            </w:r>
          </w:p>
          <w:p>
            <w:pPr>
              <w:pStyle w:val="Normal"/>
              <w:bidi w:val="0"/>
              <w:ind w:left="0" w:right="0" w:hanging="0"/>
              <w:rPr/>
            </w:pPr>
            <w:r>
              <w:rPr>
                <w:rFonts w:cs="Arial" w:ascii="Arial" w:hAnsi="Arial"/>
                <w:color w:val="000000"/>
                <w:sz w:val="22"/>
                <w:szCs w:val="22"/>
              </w:rPr>
              <w:t xml:space="preserve">Bank Statement Charges </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0.00 </w:t>
            </w:r>
          </w:p>
        </w:tc>
      </w:tr>
      <w:tr>
        <w:trPr>
          <w:trHeight w:val="300" w:hRule="atLeast"/>
        </w:trPr>
        <w:tc>
          <w:tcPr>
            <w:tcW w:w="4969" w:type="dxa"/>
            <w:gridSpan w:val="2"/>
            <w:tcBorders/>
            <w:vAlign w:val="bottom"/>
          </w:tcPr>
          <w:p>
            <w:pPr>
              <w:pStyle w:val="Normal"/>
              <w:bidi w:val="0"/>
              <w:ind w:left="0" w:right="0" w:hanging="0"/>
              <w:rPr>
                <w:rFonts w:ascii="Arial" w:hAnsi="Arial" w:cs="Arial"/>
                <w:color w:val="000000"/>
                <w:sz w:val="22"/>
                <w:szCs w:val="22"/>
              </w:rPr>
            </w:pPr>
            <w:r>
              <w:rPr>
                <w:rFonts w:cs="Arial" w:ascii="Arial" w:hAnsi="Arial"/>
                <w:color w:val="000000"/>
                <w:sz w:val="22"/>
                <w:szCs w:val="22"/>
              </w:rPr>
            </w:r>
          </w:p>
          <w:p>
            <w:pPr>
              <w:pStyle w:val="Normal"/>
              <w:bidi w:val="0"/>
              <w:ind w:left="0" w:right="0" w:hanging="0"/>
              <w:rPr/>
            </w:pPr>
            <w:r>
              <w:rPr>
                <w:rFonts w:cs="Arial" w:ascii="Arial" w:hAnsi="Arial"/>
                <w:color w:val="000000"/>
                <w:sz w:val="22"/>
                <w:szCs w:val="22"/>
              </w:rPr>
              <w:t>Total Deposits</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800.00 </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Total Expenses (SC Profit)</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8,837.25</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                                                                              </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Ending Balance 06/30/2020:</w:t>
            </w:r>
          </w:p>
        </w:tc>
        <w:tc>
          <w:tcPr>
            <w:tcW w:w="2701" w:type="dxa"/>
            <w:gridSpan w:val="2"/>
            <w:tcBorders/>
            <w:vAlign w:val="bottom"/>
          </w:tcPr>
          <w:p>
            <w:pPr>
              <w:pStyle w:val="Normal"/>
              <w:bidi w:val="0"/>
              <w:ind w:left="0" w:right="0" w:hanging="0"/>
              <w:rPr>
                <w:rFonts w:ascii="Arial" w:hAnsi="Arial" w:cs="Arial"/>
                <w:color w:val="000000"/>
                <w:sz w:val="22"/>
                <w:szCs w:val="22"/>
              </w:rPr>
            </w:pPr>
            <w:r>
              <w:rPr>
                <w:rFonts w:cs="Arial" w:ascii="Arial" w:hAnsi="Arial"/>
                <w:color w:val="000000"/>
                <w:sz w:val="22"/>
                <w:szCs w:val="22"/>
              </w:rPr>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Checking:</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 xml:space="preserve">18,394.33 </w:t>
            </w:r>
          </w:p>
        </w:tc>
      </w:tr>
      <w:tr>
        <w:trPr>
          <w:trHeight w:val="300" w:hRule="atLeast"/>
        </w:trPr>
        <w:tc>
          <w:tcPr>
            <w:tcW w:w="4969"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Money Market:</w:t>
            </w:r>
          </w:p>
        </w:tc>
        <w:tc>
          <w:tcPr>
            <w:tcW w:w="2701" w:type="dxa"/>
            <w:gridSpan w:val="2"/>
            <w:tcBorders/>
            <w:vAlign w:val="bottom"/>
          </w:tcPr>
          <w:p>
            <w:pPr>
              <w:pStyle w:val="Normal"/>
              <w:bidi w:val="0"/>
              <w:ind w:left="0" w:right="0" w:hanging="0"/>
              <w:rPr/>
            </w:pPr>
            <w:r>
              <w:rPr>
                <w:rFonts w:cs="Arial" w:ascii="Arial" w:hAnsi="Arial"/>
                <w:color w:val="000000"/>
                <w:sz w:val="22"/>
                <w:szCs w:val="22"/>
              </w:rPr>
              <w:t xml:space="preserve"> </w:t>
            </w:r>
            <w:r>
              <w:rPr>
                <w:rFonts w:cs="Arial" w:ascii="Arial" w:hAnsi="Arial"/>
                <w:color w:val="000000"/>
                <w:sz w:val="22"/>
                <w:szCs w:val="22"/>
              </w:rPr>
              <w:t>21,607.21</w:t>
            </w:r>
          </w:p>
        </w:tc>
      </w:tr>
      <w:tr>
        <w:trPr>
          <w:trHeight w:val="300" w:hRule="atLeast"/>
        </w:trPr>
        <w:tc>
          <w:tcPr>
            <w:tcW w:w="4784" w:type="dxa"/>
            <w:tcBorders/>
            <w:vAlign w:val="bottom"/>
          </w:tcPr>
          <w:p>
            <w:pPr>
              <w:pStyle w:val="Normal"/>
              <w:tabs>
                <w:tab w:val="clear" w:pos="720"/>
              </w:tabs>
              <w:bidi w:val="0"/>
              <w:ind w:left="0" w:right="0" w:hanging="0"/>
              <w:rPr>
                <w:rFonts w:ascii="Arial" w:hAnsi="Arial" w:cs="Arial"/>
                <w:color w:val="000000"/>
                <w:sz w:val="22"/>
                <w:szCs w:val="22"/>
              </w:rPr>
            </w:pPr>
            <w:r>
              <w:rPr>
                <w:rFonts w:cs="Arial" w:ascii="Arial" w:hAnsi="Arial"/>
                <w:color w:val="000000"/>
                <w:sz w:val="22"/>
                <w:szCs w:val="22"/>
              </w:rPr>
            </w:r>
          </w:p>
        </w:tc>
        <w:tc>
          <w:tcPr>
            <w:tcW w:w="1710" w:type="dxa"/>
            <w:gridSpan w:val="2"/>
            <w:tcBorders/>
            <w:vAlign w:val="bottom"/>
          </w:tcPr>
          <w:p>
            <w:pPr>
              <w:pStyle w:val="Normal"/>
              <w:tabs>
                <w:tab w:val="clear" w:pos="720"/>
              </w:tabs>
              <w:bidi w:val="0"/>
              <w:ind w:left="0" w:right="0" w:hanging="0"/>
              <w:jc w:val="right"/>
              <w:rPr>
                <w:rFonts w:ascii="Arial" w:hAnsi="Arial" w:cs="Arial"/>
                <w:color w:val="000000"/>
                <w:sz w:val="22"/>
                <w:szCs w:val="22"/>
              </w:rPr>
            </w:pPr>
            <w:r>
              <w:rPr>
                <w:rFonts w:cs="Arial" w:ascii="Arial" w:hAnsi="Arial"/>
                <w:color w:val="000000"/>
                <w:sz w:val="22"/>
                <w:szCs w:val="22"/>
              </w:rPr>
            </w:r>
          </w:p>
        </w:tc>
        <w:tc>
          <w:tcPr>
            <w:tcW w:w="1176" w:type="dxa"/>
            <w:tcBorders/>
            <w:vAlign w:val="bottom"/>
          </w:tcPr>
          <w:p>
            <w:pPr>
              <w:pStyle w:val="Normal"/>
              <w:tabs>
                <w:tab w:val="clear" w:pos="720"/>
              </w:tabs>
              <w:bidi w:val="0"/>
              <w:ind w:left="0" w:right="0" w:hanging="0"/>
              <w:rPr>
                <w:rFonts w:ascii="Arial" w:hAnsi="Arial" w:cs="Arial"/>
                <w:sz w:val="20"/>
                <w:szCs w:val="20"/>
              </w:rPr>
            </w:pPr>
            <w:r>
              <w:rPr>
                <w:rFonts w:cs="Arial" w:ascii="Arial" w:hAnsi="Arial"/>
                <w:sz w:val="20"/>
                <w:szCs w:val="20"/>
              </w:rPr>
            </w:r>
          </w:p>
        </w:tc>
      </w:tr>
    </w:tbl>
    <w:p>
      <w:pPr>
        <w:pStyle w:val="Normal"/>
        <w:bidi w:val="0"/>
        <w:ind w:left="0" w:right="0" w:hanging="0"/>
        <w:rPr/>
      </w:pPr>
      <w:r>
        <w:rPr>
          <w:rFonts w:eastAsia="Calibri" w:cs="Arial" w:ascii="Arial" w:hAnsi="Arial"/>
          <w:b/>
          <w:szCs w:val="22"/>
        </w:rPr>
        <w:tab/>
        <w:tab/>
        <w:tab/>
        <w:tab/>
      </w:r>
      <w:r>
        <w:rPr>
          <w:rFonts w:eastAsia="Calibri" w:cs="Arial" w:ascii="Arial" w:hAnsi="Arial"/>
          <w:sz w:val="22"/>
          <w:szCs w:val="22"/>
        </w:rPr>
        <w:t>Total:</w:t>
        <w:tab/>
        <w:tab/>
        <w:tab/>
        <w:t xml:space="preserve"> 40,001.54</w:t>
      </w:r>
    </w:p>
    <w:p>
      <w:pPr>
        <w:pStyle w:val="Normal"/>
        <w:bidi w:val="0"/>
        <w:ind w:left="0" w:right="0" w:hanging="0"/>
        <w:rPr>
          <w:rFonts w:ascii="Arial" w:hAnsi="Arial" w:eastAsia="Calibri" w:cs="Arial"/>
          <w:b/>
          <w:b/>
          <w:szCs w:val="22"/>
        </w:rPr>
      </w:pPr>
      <w:r>
        <w:rPr>
          <w:rFonts w:eastAsia="Calibri" w:cs="Arial" w:ascii="Arial" w:hAnsi="Arial"/>
          <w:b/>
          <w:szCs w:val="22"/>
        </w:rPr>
      </w:r>
    </w:p>
    <w:p>
      <w:pPr>
        <w:pStyle w:val="Normal"/>
        <w:pBdr>
          <w:bottom w:val="single" w:sz="12" w:space="1" w:color="000000"/>
        </w:pBdr>
        <w:bidi w:val="0"/>
        <w:ind w:left="0" w:right="0" w:hanging="0"/>
        <w:rPr>
          <w:rFonts w:ascii="Arial" w:hAnsi="Arial" w:eastAsia="Calibri" w:cs="Arial"/>
          <w:b/>
          <w:b/>
          <w:szCs w:val="22"/>
        </w:rPr>
      </w:pPr>
      <w:r>
        <w:rPr>
          <w:rFonts w:eastAsia="Calibri" w:cs="Arial" w:ascii="Arial" w:hAnsi="Arial"/>
          <w:b/>
          <w:szCs w:val="22"/>
        </w:rPr>
      </w:r>
    </w:p>
    <w:p>
      <w:pPr>
        <w:pStyle w:val="Normal"/>
        <w:pBdr>
          <w:bottom w:val="single" w:sz="12" w:space="1" w:color="000000"/>
        </w:pBdr>
        <w:bidi w:val="0"/>
        <w:ind w:left="0" w:right="0" w:hanging="0"/>
        <w:rPr>
          <w:rFonts w:ascii="Arial" w:hAnsi="Arial" w:eastAsia="Calibri" w:cs="Arial"/>
          <w:b/>
          <w:b/>
          <w:szCs w:val="22"/>
        </w:rPr>
      </w:pPr>
      <w:r>
        <w:rPr>
          <w:rFonts w:eastAsia="Calibri" w:cs="Arial" w:ascii="Arial" w:hAnsi="Arial"/>
          <w:b/>
          <w:szCs w:val="22"/>
        </w:rPr>
      </w:r>
    </w:p>
    <w:p>
      <w:pPr>
        <w:pStyle w:val="Normal"/>
        <w:bidi w:val="0"/>
        <w:ind w:left="0" w:right="0" w:hanging="0"/>
        <w:rPr>
          <w:rFonts w:ascii="Arial" w:hAnsi="Arial" w:eastAsia="Calibri" w:cs="Arial"/>
          <w:b/>
          <w:b/>
          <w:szCs w:val="22"/>
        </w:rPr>
      </w:pPr>
      <w:r>
        <w:rPr>
          <w:rFonts w:eastAsia="Calibri" w:cs="Arial" w:ascii="Arial" w:hAnsi="Arial"/>
          <w:b/>
          <w:szCs w:val="22"/>
        </w:rPr>
      </w:r>
    </w:p>
    <w:p>
      <w:pPr>
        <w:pStyle w:val="Normal"/>
        <w:bidi w:val="0"/>
        <w:ind w:left="0" w:right="0" w:hanging="0"/>
        <w:rPr>
          <w:rFonts w:ascii="Arial" w:hAnsi="Arial" w:eastAsia="Calibri" w:cs="Arial"/>
          <w:b/>
          <w:b/>
          <w:szCs w:val="22"/>
        </w:rPr>
      </w:pPr>
      <w:r>
        <w:rPr>
          <w:rFonts w:eastAsia="Calibri" w:cs="Arial" w:ascii="Arial" w:hAnsi="Arial"/>
          <w:b/>
          <w:szCs w:val="22"/>
        </w:rPr>
      </w:r>
    </w:p>
    <w:p>
      <w:pPr>
        <w:pStyle w:val="Normal"/>
        <w:bidi w:val="0"/>
        <w:ind w:left="0" w:right="0" w:hanging="0"/>
        <w:rPr/>
      </w:pPr>
      <w:r>
        <w:rPr>
          <w:rFonts w:eastAsia="Calibri" w:cs="Arial" w:ascii="Arial" w:hAnsi="Arial"/>
          <w:b/>
          <w:szCs w:val="22"/>
        </w:rPr>
        <w:t>MEMBERSHIP</w:t>
        <w:tab/>
        <w:tab/>
        <w:tab/>
        <w:tab/>
        <w:tab/>
        <w:tab/>
        <w:tab/>
      </w:r>
    </w:p>
    <w:p>
      <w:pPr>
        <w:pStyle w:val="Normal"/>
        <w:bidi w:val="0"/>
        <w:ind w:left="0" w:right="0" w:hanging="0"/>
        <w:rPr/>
      </w:pPr>
      <w:r>
        <w:rPr>
          <w:rFonts w:eastAsia="Calibri" w:cs="Arial" w:ascii="Arial" w:hAnsi="Arial"/>
          <w:b/>
          <w:szCs w:val="22"/>
        </w:rPr>
        <w:t>Jenean Burris, RHIT, CTR</w:t>
      </w:r>
    </w:p>
    <w:p>
      <w:pPr>
        <w:pStyle w:val="Normal"/>
        <w:bidi w:val="0"/>
        <w:ind w:left="0" w:right="0" w:hanging="0"/>
        <w:rPr>
          <w:rFonts w:ascii="Arial" w:hAnsi="Arial" w:eastAsia="Calibri" w:cs="Arial"/>
          <w:sz w:val="22"/>
          <w:szCs w:val="22"/>
        </w:rPr>
      </w:pPr>
      <w:r>
        <w:rPr>
          <w:rFonts w:eastAsia="Calibri" w:cs="Arial" w:ascii="Arial" w:hAnsi="Arial"/>
          <w:sz w:val="22"/>
          <w:szCs w:val="22"/>
        </w:rPr>
      </w:r>
    </w:p>
    <w:p>
      <w:pPr>
        <w:pStyle w:val="Normal"/>
        <w:bidi w:val="0"/>
        <w:ind w:left="0" w:right="0" w:hanging="0"/>
        <w:rPr/>
      </w:pPr>
      <w:r>
        <w:rPr>
          <w:rFonts w:eastAsia="Calibri" w:cs="Arial" w:ascii="Arial" w:hAnsi="Arial"/>
          <w:sz w:val="22"/>
          <w:szCs w:val="22"/>
        </w:rPr>
        <w:t>There are 156 ANCCR members as of 7/21/2020.</w:t>
      </w:r>
    </w:p>
    <w:p>
      <w:pPr>
        <w:pStyle w:val="Normal"/>
        <w:bidi w:val="0"/>
        <w:ind w:left="0" w:right="0" w:hanging="0"/>
        <w:rPr>
          <w:rFonts w:ascii="Arial" w:hAnsi="Arial" w:eastAsia="Calibri" w:cs="Arial"/>
          <w:sz w:val="22"/>
          <w:szCs w:val="22"/>
        </w:rPr>
      </w:pPr>
      <w:r>
        <w:rPr>
          <w:rFonts w:eastAsia="Calibri" w:cs="Arial" w:ascii="Arial" w:hAnsi="Arial"/>
          <w:sz w:val="22"/>
          <w:szCs w:val="22"/>
        </w:rPr>
      </w:r>
    </w:p>
    <w:p>
      <w:pPr>
        <w:pStyle w:val="Normal"/>
        <w:bidi w:val="0"/>
        <w:ind w:left="0" w:right="0" w:hanging="0"/>
        <w:rPr>
          <w:rFonts w:ascii="Arial" w:hAnsi="Arial" w:eastAsia="Calibri" w:cs="Arial"/>
          <w:sz w:val="22"/>
          <w:szCs w:val="22"/>
        </w:rPr>
      </w:pPr>
      <w:r>
        <w:rPr>
          <w:rFonts w:eastAsia="Calibri" w:cs="Arial" w:ascii="Arial" w:hAnsi="Arial"/>
          <w:sz w:val="22"/>
          <w:szCs w:val="22"/>
        </w:rPr>
      </w:r>
    </w:p>
    <w:p>
      <w:pPr>
        <w:pStyle w:val="Normal"/>
        <w:bidi w:val="0"/>
        <w:ind w:left="0" w:right="0" w:hanging="0"/>
        <w:rPr>
          <w:rFonts w:ascii="Arial" w:hAnsi="Arial" w:eastAsia="Calibri" w:cs="Arial"/>
          <w:sz w:val="22"/>
          <w:szCs w:val="22"/>
        </w:rPr>
      </w:pPr>
      <w:r>
        <w:rPr>
          <w:rFonts w:eastAsia="Calibri" w:cs="Arial" w:ascii="Arial" w:hAnsi="Arial"/>
          <w:sz w:val="22"/>
          <w:szCs w:val="22"/>
        </w:rPr>
      </w:r>
    </w:p>
    <w:p>
      <w:pPr>
        <w:pStyle w:val="Normal"/>
        <w:bidi w:val="0"/>
        <w:ind w:left="0" w:right="0" w:hanging="0"/>
        <w:rPr>
          <w:rFonts w:ascii="Arial" w:hAnsi="Arial" w:cs="Arial"/>
          <w:sz w:val="22"/>
          <w:szCs w:val="22"/>
        </w:rPr>
      </w:pPr>
      <w:r>
        <w:rPr>
          <w:rFonts w:cs="Arial" w:ascii="Arial" w:hAnsi="Arial"/>
          <w:sz w:val="22"/>
          <w:szCs w:val="22"/>
        </w:rPr>
      </w:r>
    </w:p>
    <w:p>
      <w:pPr>
        <w:pStyle w:val="Normal"/>
        <w:bidi w:val="0"/>
        <w:ind w:left="0" w:right="0" w:hanging="0"/>
        <w:rPr>
          <w:rFonts w:ascii="Arial" w:hAnsi="Arial" w:cs="Arial"/>
          <w:sz w:val="22"/>
          <w:szCs w:val="22"/>
        </w:rPr>
      </w:pPr>
      <w:r>
        <w:rPr>
          <w:rFonts w:cs="Arial" w:ascii="Arial" w:hAnsi="Arial"/>
          <w:sz w:val="22"/>
          <w:szCs w:val="22"/>
        </w:rPr>
      </w:r>
    </w:p>
    <w:p>
      <w:pPr>
        <w:pStyle w:val="Normal"/>
        <w:bidi w:val="0"/>
        <w:ind w:left="0" w:right="0" w:hanging="0"/>
        <w:rPr/>
      </w:pPr>
      <w:r>
        <w:rPr>
          <w:rFonts w:cs="Arial" w:ascii="Arial" w:hAnsi="Arial"/>
          <w:b/>
          <w:sz w:val="22"/>
          <w:szCs w:val="22"/>
        </w:rPr>
        <w:t>WEB SITE REPORT</w:t>
      </w:r>
    </w:p>
    <w:p>
      <w:pPr>
        <w:pStyle w:val="Normal"/>
        <w:bidi w:val="0"/>
        <w:ind w:left="0" w:right="0" w:hanging="0"/>
        <w:rPr/>
      </w:pPr>
      <w:r>
        <w:rPr>
          <w:rFonts w:cs="Arial" w:ascii="Arial" w:hAnsi="Arial"/>
          <w:b/>
          <w:sz w:val="22"/>
          <w:szCs w:val="22"/>
        </w:rPr>
        <w:t>Cathy Rimmer, BA, CTR</w:t>
      </w:r>
    </w:p>
    <w:p>
      <w:pPr>
        <w:pStyle w:val="Normal"/>
        <w:bidi w:val="0"/>
        <w:ind w:left="0" w:right="0" w:hanging="0"/>
        <w:rPr>
          <w:rFonts w:ascii="Arial" w:hAnsi="Arial" w:cs="Arial"/>
          <w:b/>
          <w:b/>
          <w:sz w:val="22"/>
          <w:szCs w:val="22"/>
        </w:rPr>
      </w:pPr>
      <w:r>
        <w:rPr>
          <w:rFonts w:cs="Arial" w:ascii="Arial" w:hAnsi="Arial"/>
          <w:b/>
          <w:sz w:val="22"/>
          <w:szCs w:val="22"/>
        </w:rPr>
      </w:r>
    </w:p>
    <w:p>
      <w:pPr>
        <w:pStyle w:val="Normal"/>
        <w:bidi w:val="0"/>
        <w:ind w:left="0" w:right="0" w:hanging="0"/>
        <w:rPr/>
      </w:pPr>
      <w:r>
        <w:rPr>
          <w:rFonts w:cs="Arial" w:ascii="Arial" w:hAnsi="Arial"/>
          <w:sz w:val="22"/>
          <w:szCs w:val="22"/>
        </w:rPr>
        <w:t>NAACCR Webinars are added to the member’s only section when files become available.</w:t>
      </w:r>
    </w:p>
    <w:p>
      <w:pPr>
        <w:pStyle w:val="Normal"/>
        <w:bidi w:val="0"/>
        <w:ind w:left="0" w:right="0" w:hanging="0"/>
        <w:rPr>
          <w:rFonts w:ascii="Arial" w:hAnsi="Arial" w:eastAsia="Calibri" w:cs="Arial"/>
          <w:sz w:val="22"/>
          <w:szCs w:val="22"/>
        </w:rPr>
      </w:pPr>
      <w:r>
        <w:rPr>
          <w:rFonts w:eastAsia="Calibri" w:cs="Arial" w:ascii="Arial" w:hAnsi="Arial"/>
          <w:sz w:val="22"/>
          <w:szCs w:val="22"/>
        </w:rPr>
      </w:r>
    </w:p>
    <w:p>
      <w:pPr>
        <w:pStyle w:val="Normal"/>
        <w:bidi w:val="0"/>
        <w:ind w:left="0" w:right="0" w:hanging="0"/>
        <w:rPr>
          <w:rFonts w:ascii="Arial" w:hAnsi="Arial" w:eastAsia="Calibri" w:cs="Arial"/>
          <w:sz w:val="22"/>
          <w:szCs w:val="22"/>
        </w:rPr>
      </w:pPr>
      <w:r>
        <w:rPr>
          <w:rFonts w:eastAsia="Calibri" w:cs="Arial" w:ascii="Arial" w:hAnsi="Arial"/>
          <w:sz w:val="22"/>
          <w:szCs w:val="22"/>
        </w:rPr>
      </w:r>
    </w:p>
    <w:p>
      <w:pPr>
        <w:pStyle w:val="Normal"/>
        <w:bidi w:val="0"/>
        <w:ind w:left="0" w:right="0" w:hanging="0"/>
        <w:rPr>
          <w:rFonts w:ascii="Arial" w:hAnsi="Arial" w:eastAsia="Calibri" w:cs="Arial"/>
          <w:b/>
          <w:b/>
          <w:szCs w:val="22"/>
        </w:rPr>
      </w:pPr>
      <w:r>
        <w:rPr>
          <w:rFonts w:eastAsia="Calibri" w:cs="Arial" w:ascii="Arial" w:hAnsi="Arial"/>
          <w:b/>
          <w:szCs w:val="22"/>
        </w:rPr>
      </w:r>
    </w:p>
    <w:p>
      <w:pPr>
        <w:pStyle w:val="Normal"/>
        <w:bidi w:val="0"/>
        <w:ind w:left="0" w:right="0" w:hanging="0"/>
        <w:rPr/>
      </w:pPr>
      <w:r>
        <w:rPr>
          <w:rFonts w:eastAsia="Calibri" w:cs="Arial" w:ascii="Arial" w:hAnsi="Arial"/>
          <w:b/>
          <w:szCs w:val="22"/>
        </w:rPr>
        <w:t>A4C Liaison</w:t>
      </w:r>
    </w:p>
    <w:p>
      <w:pPr>
        <w:pStyle w:val="Normal"/>
        <w:bidi w:val="0"/>
        <w:ind w:left="0" w:right="0" w:hanging="0"/>
        <w:rPr/>
      </w:pPr>
      <w:r>
        <w:rPr>
          <w:rFonts w:eastAsia="Calibri" w:cs="Arial" w:ascii="Arial" w:hAnsi="Arial"/>
          <w:b/>
          <w:szCs w:val="22"/>
        </w:rPr>
        <w:t>Kathleen Foote, CTR</w:t>
      </w:r>
    </w:p>
    <w:p>
      <w:pPr>
        <w:pStyle w:val="Normal"/>
        <w:bidi w:val="0"/>
        <w:ind w:left="0" w:right="0" w:hanging="0"/>
        <w:rPr>
          <w:rFonts w:ascii="Arial" w:hAnsi="Arial" w:eastAsia="Calibri" w:cs="Arial"/>
          <w:b/>
          <w:b/>
          <w:szCs w:val="22"/>
        </w:rPr>
      </w:pPr>
      <w:r>
        <w:rPr>
          <w:rFonts w:eastAsia="Calibri" w:cs="Arial" w:ascii="Arial" w:hAnsi="Arial"/>
          <w:b/>
          <w:szCs w:val="22"/>
        </w:rPr>
      </w:r>
    </w:p>
    <w:p>
      <w:pPr>
        <w:pStyle w:val="Normal"/>
        <w:bidi w:val="0"/>
        <w:ind w:left="360" w:right="0" w:hanging="0"/>
        <w:rPr/>
      </w:pPr>
      <w:r>
        <w:rPr>
          <w:rFonts w:eastAsia="Calibri" w:cs="Arial" w:ascii="Arial" w:hAnsi="Arial"/>
          <w:b/>
          <w:color w:val="222222"/>
          <w:sz w:val="22"/>
          <w:szCs w:val="22"/>
          <w:shd w:fill="FFFFFF" w:val="clear"/>
        </w:rPr>
        <w:t>A4C General Session met virtually on Friday, May 15, 2020</w:t>
      </w:r>
    </w:p>
    <w:p>
      <w:pPr>
        <w:pStyle w:val="Normal"/>
        <w:bidi w:val="0"/>
        <w:ind w:left="360" w:right="0" w:hanging="0"/>
        <w:rPr>
          <w:rFonts w:ascii="Arial" w:hAnsi="Arial" w:eastAsia="Calibri" w:cs="Arial"/>
          <w:color w:val="222222"/>
          <w:sz w:val="22"/>
          <w:szCs w:val="22"/>
          <w:highlight w:val="white"/>
        </w:rPr>
      </w:pPr>
      <w:r>
        <w:rPr>
          <w:rFonts w:eastAsia="Calibri" w:cs="Arial" w:ascii="Arial" w:hAnsi="Arial"/>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Draft lung cancer screening position statement presented.  Written to “determine best practices/recommendations for cancer screenings or use of the best or more appropriate cancer test versus another and to fill a need of guidelines for legislatively mandated insurance coverage”.  The draft was reviewed and changes recommended.  Final draft will be ready for next meeting.  </w:t>
      </w:r>
    </w:p>
    <w:p>
      <w:pPr>
        <w:pStyle w:val="Normal"/>
        <w:bidi w:val="0"/>
        <w:ind w:left="360" w:right="0" w:hanging="0"/>
        <w:rPr>
          <w:rFonts w:ascii="Arial" w:hAnsi="Arial" w:eastAsia="Calibri" w:cs="Arial"/>
          <w:color w:val="222222"/>
          <w:sz w:val="22"/>
          <w:szCs w:val="22"/>
          <w:highlight w:val="white"/>
        </w:rPr>
      </w:pPr>
      <w:r>
        <w:rPr>
          <w:rFonts w:eastAsia="Calibri" w:cs="Arial" w:ascii="Arial" w:hAnsi="Arial"/>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Letter of Support to Senate recommending Oral Chemo House Bill 480 favorably pass.  This bill provides equal coverage for both traditional IV and oral CTx.  43 states &amp; DC have already passed similar legislation.  This Act would require insurers that already provide coverage for both IV and oral CT to cover oral CT on basis no less favorable than IV ensuring fair out-of-pocket costs among already-covered drugs.</w:t>
      </w:r>
    </w:p>
    <w:p>
      <w:pPr>
        <w:pStyle w:val="Normal"/>
        <w:bidi w:val="0"/>
        <w:ind w:left="360" w:right="0" w:hanging="0"/>
        <w:rPr>
          <w:rFonts w:ascii="Calibri" w:hAnsi="Calibri" w:eastAsia="Calibri" w:cs="Calibri"/>
          <w:color w:val="222222"/>
          <w:sz w:val="22"/>
          <w:szCs w:val="22"/>
          <w:highlight w:val="white"/>
        </w:rPr>
      </w:pPr>
      <w:r>
        <w:rPr/>
        <w:object>
          <v:shape id="ole_rId27" style="width:76.5pt;height:50pt" o:ole="">
            <v:imagedata r:id="rId28" o:title=""/>
          </v:shape>
          <o:OLEObject Type="Embed" ProgID="AcroExch.Document.7" ShapeID="ole_rId27" DrawAspect="" ObjectID="_126485656" r:id="rId27"/>
        </w:object>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DHHS/DPH COVID 19 Update </w:t>
      </w:r>
    </w:p>
    <w:p>
      <w:pPr>
        <w:pStyle w:val="Normal"/>
        <w:bidi w:val="0"/>
        <w:ind w:left="360" w:right="0" w:hanging="0"/>
        <w:rPr>
          <w:rFonts w:ascii="Calibri" w:hAnsi="Calibri" w:eastAsia="Calibri" w:cs="Calibri"/>
          <w:color w:val="222222"/>
          <w:sz w:val="22"/>
          <w:szCs w:val="22"/>
          <w:highlight w:val="white"/>
        </w:rPr>
      </w:pPr>
      <w:r>
        <w:rPr/>
        <w:object>
          <v:shape id="ole_rId29" style="width:76.5pt;height:50pt" o:ole="">
            <v:imagedata r:id="rId30" o:title=""/>
          </v:shape>
          <o:OLEObject Type="Embed" ProgID="AcroExch.Document.7" ShapeID="ole_rId29" DrawAspect="" ObjectID="_848301558" r:id="rId29"/>
        </w:object>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Obesity &amp; Breast Cancer Outcomes presentation by Dr. Jan Wong, ECU Brody School of Medicine.  State of obesity in NC and health effects, especially related to cancers.  Study overview on obesity and mortality presented.  Potential impact of weight loss on cancer incidence including bariatric surgery, exercise and Women’s Intervention Nutrition Study (WINS Trial).  Summary</w:t>
      </w:r>
    </w:p>
    <w:p>
      <w:pPr>
        <w:pStyle w:val="Normal"/>
        <w:numPr>
          <w:ilvl w:val="0"/>
          <w:numId w:val="3"/>
        </w:numPr>
        <w:bidi w:val="0"/>
        <w:spacing w:lineRule="auto" w:line="276" w:before="0" w:after="200"/>
        <w:ind w:left="1080" w:right="0" w:hanging="360"/>
        <w:contextualSpacing/>
        <w:rPr/>
      </w:pPr>
      <w:r>
        <w:rPr>
          <w:rFonts w:eastAsia="Calibri" w:cs="Arial" w:ascii="Arial" w:hAnsi="Arial"/>
          <w:color w:val="222222"/>
          <w:sz w:val="22"/>
          <w:szCs w:val="22"/>
          <w:shd w:fill="FFFFFF" w:val="clear"/>
        </w:rPr>
        <w:t>Consistent data from observational studies link obesity to increase cancer incident &amp; mortality in obese associated cancers.</w:t>
      </w:r>
    </w:p>
    <w:p>
      <w:pPr>
        <w:pStyle w:val="Normal"/>
        <w:numPr>
          <w:ilvl w:val="0"/>
          <w:numId w:val="3"/>
        </w:numPr>
        <w:bidi w:val="0"/>
        <w:spacing w:lineRule="auto" w:line="276" w:before="0" w:after="200"/>
        <w:ind w:left="1080" w:right="0" w:hanging="360"/>
        <w:contextualSpacing/>
        <w:rPr/>
      </w:pPr>
      <w:r>
        <w:rPr>
          <w:rFonts w:eastAsia="Calibri" w:cs="Arial" w:ascii="Arial" w:hAnsi="Arial"/>
          <w:color w:val="222222"/>
          <w:sz w:val="22"/>
          <w:szCs w:val="22"/>
          <w:shd w:fill="FFFFFF" w:val="clear"/>
        </w:rPr>
        <w:t>Only a few large-scale trials have tested the impact of changes in energy balance on cancer prognosis.</w:t>
      </w:r>
    </w:p>
    <w:p>
      <w:pPr>
        <w:pStyle w:val="Normal"/>
        <w:numPr>
          <w:ilvl w:val="0"/>
          <w:numId w:val="3"/>
        </w:numPr>
        <w:bidi w:val="0"/>
        <w:spacing w:lineRule="auto" w:line="276" w:before="0" w:after="200"/>
        <w:ind w:left="1080" w:right="0" w:hanging="360"/>
        <w:contextualSpacing/>
        <w:rPr/>
      </w:pPr>
      <w:r>
        <w:rPr>
          <w:rFonts w:eastAsia="Calibri" w:cs="Arial" w:ascii="Arial" w:hAnsi="Arial"/>
          <w:color w:val="222222"/>
          <w:sz w:val="22"/>
          <w:szCs w:val="22"/>
          <w:shd w:fill="FFFFFF" w:val="clear"/>
        </w:rPr>
        <w:t>There are NO DATA that provides definitive evidence that weight loss, calorie restriction, or increased exercise will lower the risk of cancer-specific mortality.</w:t>
      </w:r>
    </w:p>
    <w:p>
      <w:pPr>
        <w:pStyle w:val="Normal"/>
        <w:bidi w:val="0"/>
        <w:ind w:left="0" w:right="0" w:hanging="0"/>
        <w:rPr>
          <w:rFonts w:ascii="Calibri" w:hAnsi="Calibri" w:eastAsia="Calibri" w:cs="Calibri"/>
          <w:color w:val="222222"/>
          <w:sz w:val="22"/>
          <w:szCs w:val="22"/>
          <w:highlight w:val="white"/>
        </w:rPr>
      </w:pPr>
      <w:r>
        <w:rPr/>
        <w:object>
          <v:shape id="ole_rId31" style="width:76.5pt;height:50pt" o:ole="">
            <v:imagedata r:id="rId32" o:title=""/>
          </v:shape>
          <o:OLEObject Type="Embed" ProgID="AcroExch.Document.7" ShapeID="ole_rId31" DrawAspect="" ObjectID="_1195233268" r:id="rId31"/>
        </w:object>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NC Cancer Plan 2020-2050 progress report.</w:t>
      </w:r>
    </w:p>
    <w:p>
      <w:pPr>
        <w:pStyle w:val="Normal"/>
        <w:bidi w:val="0"/>
        <w:ind w:left="360" w:right="0" w:hanging="0"/>
        <w:rPr>
          <w:rFonts w:ascii="Arial" w:hAnsi="Arial" w:eastAsia="Calibri" w:cs="Arial"/>
          <w:color w:val="222222"/>
          <w:sz w:val="22"/>
          <w:szCs w:val="22"/>
          <w:highlight w:val="white"/>
        </w:rPr>
      </w:pPr>
      <w:r>
        <w:rPr>
          <w:rFonts w:eastAsia="Calibri" w:cs="Arial" w:ascii="Arial" w:hAnsi="Arial"/>
          <w:color w:val="222222"/>
          <w:sz w:val="22"/>
          <w:szCs w:val="22"/>
          <w:shd w:fill="FFFFFF" w:val="clear"/>
        </w:rPr>
      </w:r>
    </w:p>
    <w:p>
      <w:pPr>
        <w:pStyle w:val="Normal"/>
        <w:bidi w:val="0"/>
        <w:ind w:left="360" w:right="0" w:hanging="0"/>
        <w:rPr>
          <w:rFonts w:ascii="Arial" w:hAnsi="Arial" w:eastAsia="Calibri" w:cs="Arial"/>
          <w:color w:val="222222"/>
          <w:sz w:val="22"/>
          <w:szCs w:val="22"/>
          <w:highlight w:val="white"/>
        </w:rPr>
      </w:pPr>
      <w:r>
        <w:rPr>
          <w:rFonts w:eastAsia="Calibri" w:cs="Arial" w:ascii="Arial" w:hAnsi="Arial"/>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Patient Navigators’ Survey Report – Addressing Barriers in Cancer Survivorship.  Survey of patient navigation services to understand barriers faced when providing care and support for cancer survivors.  </w:t>
      </w:r>
    </w:p>
    <w:p>
      <w:pPr>
        <w:pStyle w:val="Normal"/>
        <w:bidi w:val="0"/>
        <w:ind w:left="360" w:right="0" w:hanging="0"/>
        <w:rPr/>
      </w:pPr>
      <w:r>
        <w:rPr>
          <w:rFonts w:eastAsia="Calibri" w:cs="Arial" w:ascii="Arial" w:hAnsi="Arial"/>
          <w:color w:val="222222"/>
          <w:sz w:val="22"/>
          <w:szCs w:val="22"/>
          <w:shd w:fill="FFFFFF" w:val="clear"/>
        </w:rPr>
        <w:t>Top Barriers Patient Navigators</w:t>
        <w:tab/>
        <w:tab/>
        <w:tab/>
        <w:t>Top Barriers Cancer Survivor Clients</w:t>
      </w:r>
    </w:p>
    <w:p>
      <w:pPr>
        <w:pStyle w:val="Normal"/>
        <w:numPr>
          <w:ilvl w:val="0"/>
          <w:numId w:val="4"/>
        </w:numPr>
        <w:bidi w:val="0"/>
        <w:spacing w:lineRule="auto" w:line="276" w:before="0" w:after="200"/>
        <w:ind w:left="1080" w:right="0" w:hanging="360"/>
        <w:contextualSpacing/>
        <w:rPr/>
      </w:pPr>
      <w:r>
        <w:rPr>
          <w:rFonts w:eastAsia="Calibri" w:cs="Arial" w:ascii="Arial" w:hAnsi="Arial"/>
          <w:color w:val="222222"/>
          <w:sz w:val="22"/>
          <w:szCs w:val="22"/>
          <w:shd w:fill="FFFFFF" w:val="clear"/>
        </w:rPr>
        <w:t>Transportation</w:t>
        <w:tab/>
        <w:tab/>
        <w:tab/>
        <w:tab/>
        <w:t>*     Need for financial support</w:t>
      </w:r>
    </w:p>
    <w:p>
      <w:pPr>
        <w:pStyle w:val="Normal"/>
        <w:numPr>
          <w:ilvl w:val="0"/>
          <w:numId w:val="4"/>
        </w:numPr>
        <w:bidi w:val="0"/>
        <w:spacing w:lineRule="auto" w:line="276" w:before="0" w:after="200"/>
        <w:ind w:left="1080" w:right="0" w:hanging="360"/>
        <w:contextualSpacing/>
        <w:rPr/>
      </w:pPr>
      <w:r>
        <w:rPr>
          <w:rFonts w:eastAsia="Calibri" w:cs="Calibri" w:ascii="Calibri" w:hAnsi="Calibri"/>
          <w:color w:val="222222"/>
          <w:sz w:val="22"/>
          <w:szCs w:val="22"/>
          <w:shd w:fill="FFFFFF" w:val="clear"/>
        </w:rPr>
        <w:t>Financial barriers</w:t>
        <w:tab/>
        <w:tab/>
        <w:tab/>
        <w:tab/>
        <w:t>*     Need for transportation</w:t>
      </w:r>
    </w:p>
    <w:p>
      <w:pPr>
        <w:pStyle w:val="Normal"/>
        <w:numPr>
          <w:ilvl w:val="0"/>
          <w:numId w:val="4"/>
        </w:numPr>
        <w:bidi w:val="0"/>
        <w:spacing w:lineRule="auto" w:line="276" w:before="0" w:after="200"/>
        <w:ind w:left="1080" w:right="0" w:hanging="360"/>
        <w:contextualSpacing/>
        <w:rPr/>
      </w:pPr>
      <w:r>
        <w:rPr>
          <w:rFonts w:eastAsia="Calibri" w:cs="Arial" w:ascii="Arial" w:hAnsi="Arial"/>
          <w:color w:val="222222"/>
          <w:sz w:val="22"/>
          <w:szCs w:val="22"/>
          <w:shd w:fill="FFFFFF" w:val="clear"/>
        </w:rPr>
        <w:t>Need for navigation</w:t>
        <w:tab/>
        <w:tab/>
        <w:tab/>
        <w:tab/>
        <w:t>*     Emotional/Psychosocial/Peer support</w:t>
      </w:r>
    </w:p>
    <w:p>
      <w:pPr>
        <w:pStyle w:val="Normal"/>
        <w:bidi w:val="0"/>
        <w:ind w:left="360" w:right="0" w:hanging="0"/>
        <w:rPr/>
      </w:pPr>
      <w:r>
        <w:rPr>
          <w:rFonts w:eastAsia="Calibri" w:cs="Arial" w:ascii="Arial" w:hAnsi="Arial"/>
          <w:color w:val="222222"/>
          <w:sz w:val="22"/>
          <w:szCs w:val="22"/>
          <w:shd w:fill="FFFFFF" w:val="clear"/>
        </w:rPr>
        <w:t>Resource tools to address the need and barriers of clients &amp; connecting them to these resources.</w:t>
      </w:r>
    </w:p>
    <w:p>
      <w:pPr>
        <w:pStyle w:val="Normal"/>
        <w:bidi w:val="0"/>
        <w:ind w:left="360" w:right="0" w:hanging="0"/>
        <w:rPr>
          <w:rFonts w:ascii="Calibri" w:hAnsi="Calibri" w:eastAsia="Calibri" w:cs="Calibri"/>
          <w:color w:val="222222"/>
          <w:sz w:val="22"/>
          <w:szCs w:val="22"/>
          <w:highlight w:val="white"/>
        </w:rPr>
      </w:pPr>
      <w:r>
        <w:rPr/>
        <w:object>
          <v:shape id="ole_rId33" style="width:76.5pt;height:50pt" o:ole="">
            <v:imagedata r:id="rId34" o:title=""/>
          </v:shape>
          <o:OLEObject Type="Embed" ProgID="AcroExch.Document.7" ShapeID="ole_rId33" DrawAspect="" ObjectID="_743949954" r:id="rId33"/>
        </w:object>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CCR Report </w:t>
      </w:r>
    </w:p>
    <w:p>
      <w:pPr>
        <w:pStyle w:val="Normal"/>
        <w:bidi w:val="0"/>
        <w:ind w:left="360" w:right="0" w:hanging="0"/>
        <w:rPr>
          <w:rFonts w:ascii="Calibri" w:hAnsi="Calibri" w:eastAsia="Calibri" w:cs="Calibri"/>
          <w:color w:val="222222"/>
          <w:sz w:val="22"/>
          <w:szCs w:val="22"/>
          <w:highlight w:val="white"/>
        </w:rPr>
      </w:pPr>
      <w:r>
        <w:rPr/>
        <w:object>
          <v:shape id="ole_rId35" style="width:76.5pt;height:50pt" o:ole="">
            <v:imagedata r:id="rId36" o:title=""/>
          </v:shape>
          <o:OLEObject Type="Embed" ProgID="AcroExch.Document.7" ShapeID="ole_rId35" DrawAspect="" ObjectID="_2011365624" r:id="rId35"/>
        </w:object>
      </w:r>
    </w:p>
    <w:p>
      <w:pPr>
        <w:pStyle w:val="Normal"/>
        <w:bidi w:val="0"/>
        <w:ind w:left="360" w:right="0" w:hanging="0"/>
        <w:rPr>
          <w:rFonts w:ascii="Calibri" w:hAnsi="Calibri" w:eastAsia="Calibri" w:cs="Calibri"/>
          <w:b/>
          <w:b/>
          <w:color w:val="222222"/>
          <w:sz w:val="22"/>
          <w:szCs w:val="22"/>
          <w:highlight w:val="white"/>
        </w:rPr>
      </w:pPr>
      <w:r>
        <w:rPr>
          <w:rFonts w:eastAsia="Calibri" w:cs="Calibri" w:ascii="Calibri" w:hAnsi="Calibri"/>
          <w:b/>
          <w:color w:val="222222"/>
          <w:sz w:val="22"/>
          <w:szCs w:val="22"/>
          <w:shd w:fill="FFFFFF" w:val="clear"/>
        </w:rPr>
      </w:r>
    </w:p>
    <w:p>
      <w:pPr>
        <w:pStyle w:val="Normal"/>
        <w:bidi w:val="0"/>
        <w:ind w:left="360" w:right="0" w:hanging="0"/>
        <w:rPr>
          <w:rFonts w:ascii="Calibri" w:hAnsi="Calibri" w:eastAsia="Calibri" w:cs="Calibri"/>
          <w:b/>
          <w:b/>
          <w:color w:val="222222"/>
          <w:sz w:val="22"/>
          <w:szCs w:val="22"/>
          <w:highlight w:val="white"/>
        </w:rPr>
      </w:pPr>
      <w:r>
        <w:rPr>
          <w:rFonts w:eastAsia="Calibri" w:cs="Calibri" w:ascii="Calibri" w:hAnsi="Calibri"/>
          <w:b/>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NC Community Cancer Network  </w:t>
      </w:r>
    </w:p>
    <w:p>
      <w:pPr>
        <w:pStyle w:val="Normal"/>
        <w:bidi w:val="0"/>
        <w:ind w:left="360" w:right="0" w:hanging="0"/>
        <w:rPr>
          <w:rFonts w:ascii="Arial" w:hAnsi="Arial" w:eastAsia="Calibri" w:cs="Arial"/>
          <w:color w:val="222222"/>
          <w:sz w:val="22"/>
          <w:szCs w:val="22"/>
          <w:highlight w:val="white"/>
        </w:rPr>
      </w:pPr>
      <w:r>
        <w:rPr>
          <w:rFonts w:eastAsia="Calibri" w:cs="Arial" w:ascii="Arial" w:hAnsi="Arial"/>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Attended Northwestern Regional meeting (virtual) on May 28.   The objective is to foster collaborative partnerships, connecting patients, survivors, clinics &amp; clinicians and community to increase access to care, services and resources to reduce the burden and address issues and gaps.  Promote/provide educational opportunities and share/create resource materials.  Pilot program to target 2 regions – Northwest and Southeastern, based on distance patients travel to closet hospital, cancer incidence rates, diabetes, heart disease mortality rates and NC Medicaid regions.  </w:t>
      </w:r>
    </w:p>
    <w:p>
      <w:pPr>
        <w:pStyle w:val="Normal"/>
        <w:bidi w:val="0"/>
        <w:ind w:left="360" w:right="0" w:hanging="0"/>
        <w:rPr>
          <w:rFonts w:ascii="Arial" w:hAnsi="Arial" w:eastAsia="Calibri" w:cs="Arial"/>
          <w:color w:val="222222"/>
          <w:sz w:val="22"/>
          <w:szCs w:val="22"/>
          <w:highlight w:val="white"/>
        </w:rPr>
      </w:pPr>
      <w:r>
        <w:rPr>
          <w:rFonts w:eastAsia="Calibri" w:cs="Arial" w:ascii="Arial" w:hAnsi="Arial"/>
          <w:color w:val="222222"/>
          <w:sz w:val="22"/>
          <w:szCs w:val="22"/>
          <w:shd w:fill="FFFFFF" w:val="clear"/>
        </w:rPr>
      </w:r>
    </w:p>
    <w:p>
      <w:pPr>
        <w:pStyle w:val="Normal"/>
        <w:bidi w:val="0"/>
        <w:ind w:left="360" w:right="0" w:hanging="0"/>
        <w:rPr/>
      </w:pPr>
      <w:r>
        <w:rPr>
          <w:rFonts w:eastAsia="Calibri" w:cs="Arial" w:ascii="Arial" w:hAnsi="Arial"/>
          <w:color w:val="222222"/>
          <w:sz w:val="22"/>
          <w:szCs w:val="22"/>
          <w:shd w:fill="FFFFFF" w:val="clear"/>
        </w:rPr>
        <w:t xml:space="preserve">During the meeting, the group identified a list of barriers, needs or issues faced in the NW region then narrowed it down to top 3 barriers faced – Transportation, Language and Nutrition.  They identified services &amp; resources already provided or available in the NW region.  </w:t>
      </w:r>
    </w:p>
    <w:p>
      <w:pPr>
        <w:pStyle w:val="Normal"/>
        <w:bidi w:val="0"/>
        <w:ind w:left="0" w:right="0" w:hanging="0"/>
        <w:rPr>
          <w:rFonts w:ascii="Calibri" w:hAnsi="Calibri" w:eastAsia="Calibri" w:cs="Calibri"/>
          <w:color w:val="222222"/>
          <w:sz w:val="22"/>
          <w:szCs w:val="22"/>
          <w:highlight w:val="white"/>
        </w:rPr>
      </w:pPr>
      <w:r>
        <w:rPr/>
        <w:object>
          <v:shape id="ole_rId37" style="width:76.5pt;height:50pt" o:ole="">
            <v:imagedata r:id="rId38" o:title=""/>
          </v:shape>
          <o:OLEObject Type="Embed" ProgID="AcroExch.Document.7" ShapeID="ole_rId37" DrawAspect="" ObjectID="_1295395917" r:id="rId37"/>
        </w:object>
      </w:r>
    </w:p>
    <w:p>
      <w:pPr>
        <w:pStyle w:val="Normal"/>
        <w:bidi w:val="0"/>
        <w:ind w:left="0" w:right="0" w:hanging="0"/>
        <w:rPr>
          <w:rFonts w:ascii="Calibri" w:hAnsi="Calibri" w:eastAsia="Calibri" w:cs="Calibri"/>
          <w:color w:val="222222"/>
          <w:sz w:val="22"/>
          <w:szCs w:val="22"/>
          <w:highlight w:val="white"/>
        </w:rPr>
      </w:pPr>
      <w:r>
        <w:rPr>
          <w:rFonts w:eastAsia="Calibri" w:cs="Calibri" w:ascii="Calibri" w:hAnsi="Calibri"/>
          <w:color w:val="222222"/>
          <w:sz w:val="22"/>
          <w:szCs w:val="22"/>
          <w:shd w:fill="FFFFFF" w:val="clear"/>
        </w:rPr>
      </w:r>
    </w:p>
    <w:p>
      <w:pPr>
        <w:pStyle w:val="Normal"/>
        <w:pBdr>
          <w:bottom w:val="single" w:sz="12" w:space="1" w:color="000000"/>
        </w:pBdr>
        <w:bidi w:val="0"/>
        <w:ind w:left="0" w:right="0" w:hanging="0"/>
        <w:rPr>
          <w:rFonts w:ascii="Calibri" w:hAnsi="Calibri" w:cs="Calibri"/>
          <w:sz w:val="22"/>
          <w:szCs w:val="22"/>
        </w:rPr>
      </w:pPr>
      <w:r>
        <w:rPr>
          <w:rFonts w:cs="Calibri" w:ascii="Calibri" w:hAnsi="Calibri"/>
          <w:sz w:val="22"/>
          <w:szCs w:val="22"/>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pPr>
      <w:r>
        <w:rPr>
          <w:rFonts w:eastAsia="Calibri" w:cs="Arial" w:ascii="Arial" w:hAnsi="Arial"/>
          <w:b/>
        </w:rPr>
        <w:t>EDUCATION REPORT</w:t>
      </w:r>
    </w:p>
    <w:p>
      <w:pPr>
        <w:pStyle w:val="Normal"/>
        <w:bidi w:val="0"/>
        <w:ind w:left="0" w:right="0" w:hanging="0"/>
        <w:rPr/>
      </w:pPr>
      <w:r>
        <w:rPr>
          <w:rFonts w:eastAsia="Calibri" w:cs="Arial" w:ascii="Arial" w:hAnsi="Arial"/>
          <w:b/>
        </w:rPr>
        <w:t>Kimberly Swing, CTR and</w:t>
      </w:r>
    </w:p>
    <w:p>
      <w:pPr>
        <w:pStyle w:val="Normal"/>
        <w:bidi w:val="0"/>
        <w:ind w:left="0" w:right="0" w:hanging="0"/>
        <w:rPr/>
      </w:pPr>
      <w:r>
        <w:rPr>
          <w:rFonts w:eastAsia="Calibri" w:cs="Arial" w:ascii="Arial" w:hAnsi="Arial"/>
          <w:b/>
        </w:rPr>
        <w:t>Karen Knight, CTR</w:t>
      </w:r>
    </w:p>
    <w:p>
      <w:pPr>
        <w:pStyle w:val="Normal"/>
        <w:bidi w:val="0"/>
        <w:ind w:left="0" w:right="0" w:hanging="0"/>
        <w:rPr>
          <w:rFonts w:ascii="Arial" w:hAnsi="Arial" w:eastAsia="Calibri" w:cs="Arial"/>
          <w:b/>
          <w:b/>
          <w:szCs w:val="22"/>
        </w:rPr>
      </w:pPr>
      <w:r>
        <w:rPr>
          <w:rFonts w:eastAsia="Calibri" w:cs="Arial" w:ascii="Arial" w:hAnsi="Arial"/>
          <w:b/>
          <w:szCs w:val="22"/>
        </w:rPr>
      </w:r>
    </w:p>
    <w:p>
      <w:pPr>
        <w:pStyle w:val="Normal"/>
        <w:bidi w:val="0"/>
        <w:ind w:left="0" w:right="0" w:hanging="0"/>
        <w:rPr/>
      </w:pPr>
      <w:r>
        <w:rPr>
          <w:rFonts w:cs="Arial" w:ascii="Arial" w:hAnsi="Arial"/>
          <w:b/>
          <w:sz w:val="28"/>
          <w:szCs w:val="28"/>
          <w:u w:val="single"/>
        </w:rPr>
        <w:t>Educational Opportunities</w:t>
      </w:r>
      <w:r>
        <w:rPr>
          <w:rFonts w:cs="Arial" w:ascii="Arial" w:hAnsi="Arial"/>
          <w:b/>
          <w:sz w:val="28"/>
          <w:szCs w:val="28"/>
        </w:rPr>
        <w:t>:</w:t>
      </w:r>
    </w:p>
    <w:p>
      <w:pPr>
        <w:pStyle w:val="Normal"/>
        <w:bidi w:val="0"/>
        <w:ind w:left="0" w:right="0" w:hanging="0"/>
        <w:rPr>
          <w:rFonts w:ascii="Arial" w:hAnsi="Arial" w:cs="Arial"/>
          <w:b/>
          <w:b/>
          <w:bCs/>
          <w:sz w:val="22"/>
          <w:szCs w:val="22"/>
        </w:rPr>
      </w:pPr>
      <w:r>
        <w:rPr>
          <w:rFonts w:cs="Arial" w:ascii="Arial" w:hAnsi="Arial"/>
          <w:b/>
          <w:bCs/>
          <w:sz w:val="22"/>
          <w:szCs w:val="22"/>
        </w:rPr>
      </w:r>
    </w:p>
    <w:p>
      <w:pPr>
        <w:pStyle w:val="Normal"/>
        <w:bidi w:val="0"/>
        <w:ind w:left="0" w:right="0" w:hanging="0"/>
        <w:textAlignment w:val="baseline"/>
        <w:rPr/>
      </w:pPr>
      <w:r>
        <w:rPr>
          <w:rFonts w:cs="Arial" w:ascii="Arial" w:hAnsi="Arial"/>
          <w:b/>
          <w:sz w:val="22"/>
          <w:szCs w:val="22"/>
        </w:rPr>
        <w:t>NCRA Center for Cancer Registry Education -</w:t>
      </w:r>
      <w:r>
        <w:rPr>
          <w:rFonts w:cs="Arial" w:ascii="Arial" w:hAnsi="Arial"/>
          <w:sz w:val="22"/>
          <w:szCs w:val="22"/>
        </w:rPr>
        <w:t xml:space="preserve"> </w:t>
      </w:r>
      <w:hyperlink r:id="rId39">
        <w:r>
          <w:rPr>
            <w:rFonts w:cs="Arial" w:ascii="Arial" w:hAnsi="Arial"/>
            <w:color w:val="0000FF"/>
            <w:sz w:val="22"/>
            <w:szCs w:val="22"/>
            <w:u w:val="single"/>
          </w:rPr>
          <w:t>http://www.cancerregistryeducation.org/</w:t>
        </w:r>
      </w:hyperlink>
    </w:p>
    <w:p>
      <w:pPr>
        <w:pStyle w:val="Normal"/>
        <w:bidi w:val="0"/>
        <w:ind w:left="0" w:right="0" w:hanging="0"/>
        <w:textAlignment w:val="baseline"/>
        <w:rPr/>
      </w:pPr>
      <w:r>
        <w:rPr>
          <w:rFonts w:cs="Arial" w:ascii="Arial" w:hAnsi="Arial"/>
          <w:color w:val="333333"/>
          <w:sz w:val="22"/>
          <w:szCs w:val="22"/>
        </w:rPr>
        <w:t>Access to high-quality educational programming to support both seasoned professionals and those new to the field, included are programs related to AJCC 8</w:t>
      </w:r>
      <w:r>
        <w:rPr>
          <w:rFonts w:cs="Arial" w:ascii="Arial" w:hAnsi="Arial"/>
          <w:color w:val="333333"/>
          <w:sz w:val="22"/>
          <w:szCs w:val="22"/>
          <w:vertAlign w:val="superscript"/>
        </w:rPr>
        <w:t>th</w:t>
      </w:r>
      <w:r>
        <w:rPr>
          <w:rFonts w:cs="Arial" w:ascii="Arial" w:hAnsi="Arial"/>
          <w:color w:val="333333"/>
          <w:sz w:val="22"/>
          <w:szCs w:val="22"/>
        </w:rPr>
        <w:t xml:space="preserve"> Edition. Most are fee based.</w:t>
      </w:r>
    </w:p>
    <w:p>
      <w:pPr>
        <w:pStyle w:val="Normal"/>
        <w:bidi w:val="0"/>
        <w:ind w:left="0" w:right="0" w:hanging="0"/>
        <w:textAlignment w:val="baseline"/>
        <w:rPr>
          <w:rFonts w:ascii="Arial" w:hAnsi="Arial" w:cs="Arial"/>
          <w:color w:val="333333"/>
          <w:sz w:val="22"/>
          <w:szCs w:val="22"/>
        </w:rPr>
      </w:pPr>
      <w:r>
        <w:rPr>
          <w:rFonts w:cs="Arial" w:ascii="Arial" w:hAnsi="Arial"/>
          <w:color w:val="333333"/>
          <w:sz w:val="22"/>
          <w:szCs w:val="22"/>
        </w:rPr>
      </w:r>
    </w:p>
    <w:p>
      <w:pPr>
        <w:pStyle w:val="Normal"/>
        <w:bidi w:val="0"/>
        <w:ind w:left="0" w:right="0" w:hanging="0"/>
        <w:rPr/>
      </w:pPr>
      <w:r>
        <w:rPr>
          <w:rFonts w:eastAsia="Century Gothic" w:cs="Arial" w:ascii="Arial" w:hAnsi="Arial"/>
          <w:b/>
          <w:sz w:val="22"/>
          <w:szCs w:val="22"/>
        </w:rPr>
        <w:t xml:space="preserve">NCRA Registry Resources </w:t>
      </w:r>
      <w:r>
        <w:rPr>
          <w:rFonts w:eastAsia="Century Gothic" w:cs="Arial" w:ascii="Arial" w:hAnsi="Arial"/>
          <w:sz w:val="22"/>
          <w:szCs w:val="22"/>
        </w:rPr>
        <w:t xml:space="preserve">- </w:t>
      </w:r>
      <w:hyperlink r:id="rId40">
        <w:r>
          <w:rPr>
            <w:rFonts w:cs="Arial" w:ascii="Arial" w:hAnsi="Arial"/>
            <w:color w:val="0000BF"/>
            <w:spacing w:val="5"/>
            <w:kern w:val="2"/>
            <w:sz w:val="22"/>
            <w:szCs w:val="22"/>
            <w:u w:val="single"/>
          </w:rPr>
          <w:t>http://www.cancerregistryeducation.org/rr</w:t>
        </w:r>
      </w:hyperlink>
    </w:p>
    <w:p>
      <w:pPr>
        <w:pStyle w:val="Normal"/>
        <w:bidi w:val="0"/>
        <w:ind w:left="0" w:right="0" w:hanging="0"/>
        <w:textAlignment w:val="baseline"/>
        <w:rPr/>
      </w:pPr>
      <w:r>
        <w:rPr>
          <w:rFonts w:cs="Arial" w:ascii="Arial" w:hAnsi="Arial"/>
          <w:color w:val="333333"/>
          <w:sz w:val="22"/>
          <w:szCs w:val="22"/>
        </w:rPr>
        <w:t>A series of informational abstracts and presentations that show registrars how to use these important resources, these site-specific abstracts provide an outline to follow when determining what text to include. FREE</w:t>
      </w:r>
    </w:p>
    <w:p>
      <w:pPr>
        <w:pStyle w:val="Normal"/>
        <w:bidi w:val="0"/>
        <w:ind w:left="0" w:right="0" w:hanging="0"/>
        <w:rPr/>
      </w:pPr>
      <w:r>
        <w:rPr>
          <w:rFonts w:cs="Arial" w:ascii="Arial" w:hAnsi="Arial"/>
          <w:b/>
          <w:sz w:val="22"/>
          <w:szCs w:val="20"/>
        </w:rPr>
        <w:t xml:space="preserve">SEER Educate - </w:t>
      </w:r>
      <w:hyperlink r:id="rId41">
        <w:r>
          <w:rPr>
            <w:rStyle w:val="InternetLink"/>
            <w:rFonts w:eastAsia="Century Gothic" w:cs="Arial" w:ascii="Arial" w:hAnsi="Arial"/>
            <w:sz w:val="22"/>
            <w:szCs w:val="20"/>
            <w:lang w:val="en-US" w:eastAsia="en-US" w:bidi="ar-SA"/>
          </w:rPr>
          <w:t>https://educate.fredhutch.org/LandingPage.aspx</w:t>
        </w:r>
      </w:hyperlink>
      <w:r>
        <w:rPr>
          <w:rFonts w:eastAsia="Century Gothic" w:cs="Arial" w:ascii="Arial" w:hAnsi="Arial"/>
          <w:sz w:val="22"/>
          <w:szCs w:val="20"/>
        </w:rPr>
        <w:t xml:space="preserve">  </w:t>
      </w:r>
    </w:p>
    <w:p>
      <w:pPr>
        <w:pStyle w:val="Normal"/>
        <w:bidi w:val="0"/>
        <w:ind w:left="0" w:right="0" w:hanging="0"/>
        <w:rPr>
          <w:lang w:val="en"/>
        </w:rPr>
      </w:pPr>
      <w:r>
        <w:rPr>
          <w:rFonts w:cs="Arial" w:ascii="Arial" w:hAnsi="Arial"/>
          <w:color w:val="000000"/>
          <w:sz w:val="22"/>
          <w:szCs w:val="20"/>
          <w:lang w:val="en"/>
        </w:rPr>
        <w:t xml:space="preserve">Improve technical skills through applied testing on the latest coding guidelines and concepts. </w:t>
      </w:r>
      <w:r>
        <w:rPr>
          <w:rFonts w:eastAsia="Century Gothic" w:cs="Arial" w:ascii="Arial" w:hAnsi="Arial"/>
          <w:sz w:val="22"/>
          <w:szCs w:val="20"/>
        </w:rPr>
        <w:t xml:space="preserve">Complete practice abstracts and earn up to 20 CE credits per cycle. FREE, Casefinding and Grade exercises are now available as well. </w:t>
      </w:r>
    </w:p>
    <w:p>
      <w:pPr>
        <w:pStyle w:val="Normal"/>
        <w:bidi w:val="0"/>
        <w:ind w:left="0" w:right="0" w:hanging="0"/>
        <w:rPr>
          <w:rFonts w:ascii="Arial" w:hAnsi="Arial" w:eastAsia="Century Gothic" w:cs="Arial"/>
          <w:sz w:val="22"/>
          <w:szCs w:val="20"/>
        </w:rPr>
      </w:pPr>
      <w:r>
        <w:rPr>
          <w:rFonts w:eastAsia="Century Gothic" w:cs="Arial" w:ascii="Arial" w:hAnsi="Arial"/>
          <w:sz w:val="22"/>
          <w:szCs w:val="20"/>
        </w:rPr>
      </w:r>
    </w:p>
    <w:p>
      <w:pPr>
        <w:pStyle w:val="Normal"/>
        <w:bidi w:val="0"/>
        <w:ind w:left="0" w:right="0" w:hanging="0"/>
        <w:rPr/>
      </w:pPr>
      <w:r>
        <w:rPr>
          <w:rFonts w:eastAsia="Century Gothic" w:cs="Arial" w:ascii="Arial" w:hAnsi="Arial"/>
          <w:b/>
          <w:sz w:val="22"/>
          <w:szCs w:val="20"/>
        </w:rPr>
        <w:t xml:space="preserve">NCRA’s Mini-Learning Shorts- </w:t>
      </w:r>
      <w:r>
        <w:rPr>
          <w:rFonts w:eastAsia="Century Gothic" w:cs="Arial" w:ascii="Arial" w:hAnsi="Arial"/>
          <w:sz w:val="22"/>
          <w:szCs w:val="20"/>
        </w:rPr>
        <w:t xml:space="preserve">Great guide for new registrars- </w:t>
      </w:r>
      <w:hyperlink r:id="rId42">
        <w:r>
          <w:rPr>
            <w:rStyle w:val="InternetLink"/>
            <w:rFonts w:eastAsia="Century Gothic" w:cs="Arial" w:ascii="Arial" w:hAnsi="Arial"/>
            <w:sz w:val="20"/>
            <w:szCs w:val="20"/>
            <w:lang w:val="en-US" w:eastAsia="en-US" w:bidi="ar-SA"/>
          </w:rPr>
          <w:t>http://www.cancerregistryeducation.org/best-practices?fbclid=IwAR1bfhzNf844uTRZKbhelHvK0G2MSBumIlQH0o4K1hYqe46BmmmxPrnIVfY</w:t>
        </w:r>
      </w:hyperlink>
      <w:r>
        <w:rPr>
          <w:rFonts w:eastAsia="Century Gothic" w:cs="Arial" w:ascii="Arial" w:hAnsi="Arial"/>
          <w:sz w:val="20"/>
          <w:szCs w:val="20"/>
        </w:rPr>
        <w:t xml:space="preserve"> and </w:t>
      </w:r>
      <w:hyperlink r:id="rId43">
        <w:r>
          <w:rPr>
            <w:rStyle w:val="InternetLink"/>
            <w:rFonts w:eastAsia="Century Gothic" w:cs="Arial" w:ascii="Arial" w:hAnsi="Arial"/>
            <w:sz w:val="20"/>
            <w:szCs w:val="20"/>
            <w:lang w:val="en-US" w:eastAsia="en-US" w:bidi="ar-SA"/>
          </w:rPr>
          <w:t>http://www.cancerregistryeducation.org/introduction-to-the-cancer-registry</w:t>
        </w:r>
      </w:hyperlink>
      <w:r>
        <w:rPr>
          <w:rFonts w:eastAsia="Century Gothic" w:cs="Arial" w:ascii="Arial" w:hAnsi="Arial"/>
          <w:sz w:val="22"/>
          <w:szCs w:val="20"/>
        </w:rPr>
        <w:t xml:space="preserve"> </w:t>
      </w:r>
    </w:p>
    <w:p>
      <w:pPr>
        <w:pStyle w:val="Normal"/>
        <w:bidi w:val="0"/>
        <w:ind w:left="0" w:right="0" w:hanging="0"/>
        <w:rPr>
          <w:rFonts w:ascii="Arial" w:hAnsi="Arial" w:eastAsia="Century Gothic" w:cs="Arial"/>
          <w:sz w:val="22"/>
          <w:szCs w:val="20"/>
        </w:rPr>
      </w:pPr>
      <w:r>
        <w:rPr>
          <w:rFonts w:eastAsia="Century Gothic" w:cs="Arial" w:ascii="Arial" w:hAnsi="Arial"/>
          <w:sz w:val="22"/>
          <w:szCs w:val="20"/>
        </w:rPr>
      </w:r>
    </w:p>
    <w:p>
      <w:pPr>
        <w:pStyle w:val="Normal"/>
        <w:bidi w:val="0"/>
        <w:ind w:left="0" w:right="0" w:hanging="0"/>
        <w:rPr/>
      </w:pPr>
      <w:hyperlink r:id="rId44">
        <w:r>
          <w:rPr>
            <w:rFonts w:eastAsia="Century Gothic" w:cs="Century Gothic" w:ascii="Century Gothic" w:hAnsi="Century Gothic"/>
            <w:color w:val="0000FF"/>
            <w:sz w:val="22"/>
            <w:szCs w:val="22"/>
            <w:u w:val="single"/>
          </w:rPr>
          <w:t>https://education.naaccr.org/freewebinars</w:t>
        </w:r>
      </w:hyperlink>
      <w:r>
        <w:rPr>
          <w:rFonts w:eastAsia="Century Gothic" w:cs="Century Gothic" w:ascii="Century Gothic" w:hAnsi="Century Gothic"/>
          <w:sz w:val="22"/>
          <w:szCs w:val="22"/>
        </w:rPr>
        <w:t xml:space="preserve">  -</w:t>
      </w:r>
      <w:r>
        <w:rPr>
          <w:rFonts w:cs="Arial" w:ascii="Arial" w:hAnsi="Arial"/>
          <w:color w:val="000000"/>
          <w:sz w:val="22"/>
          <w:szCs w:val="20"/>
          <w:lang w:val="en"/>
        </w:rPr>
        <w:t xml:space="preserve"> NAACCR Talks are free webinars on topics of concern to the NAACCR membership. View recordings of the live webinars for no charge.</w:t>
      </w:r>
    </w:p>
    <w:p>
      <w:pPr>
        <w:pStyle w:val="Normal"/>
        <w:bidi w:val="0"/>
        <w:ind w:left="0" w:right="0" w:hanging="0"/>
        <w:rPr>
          <w:rFonts w:ascii="Arial" w:hAnsi="Arial" w:cs="Arial"/>
          <w:color w:val="000000"/>
          <w:sz w:val="22"/>
          <w:szCs w:val="20"/>
          <w:lang w:val="en"/>
        </w:rPr>
      </w:pPr>
      <w:r>
        <w:rPr>
          <w:rFonts w:cs="Arial" w:ascii="Arial" w:hAnsi="Arial"/>
          <w:color w:val="000000"/>
          <w:sz w:val="22"/>
          <w:szCs w:val="20"/>
          <w:lang w:val="en"/>
        </w:rPr>
      </w:r>
    </w:p>
    <w:p>
      <w:pPr>
        <w:pStyle w:val="Normal"/>
        <w:bidi w:val="0"/>
        <w:ind w:left="0" w:right="0" w:hanging="0"/>
        <w:rPr/>
      </w:pPr>
      <w:r>
        <w:rPr>
          <w:rFonts w:cs="Arial" w:ascii="Arial" w:hAnsi="Arial"/>
          <w:b/>
          <w:color w:val="000000"/>
          <w:sz w:val="22"/>
          <w:szCs w:val="20"/>
          <w:lang w:val="en"/>
        </w:rPr>
        <w:t xml:space="preserve">Tumor Talk- </w:t>
      </w:r>
      <w:r>
        <w:rPr>
          <w:rFonts w:cs="Arial" w:ascii="Arial" w:hAnsi="Arial"/>
          <w:color w:val="000000"/>
          <w:sz w:val="22"/>
          <w:szCs w:val="20"/>
          <w:lang w:val="en"/>
        </w:rPr>
        <w:t xml:space="preserve">sign up to receive webinar invitations presented by Himagine Solutions at </w:t>
      </w:r>
      <w:hyperlink r:id="rId45">
        <w:r>
          <w:rPr>
            <w:rStyle w:val="InternetLink"/>
            <w:rFonts w:cs="Arial" w:ascii="Arial" w:hAnsi="Arial"/>
            <w:sz w:val="22"/>
            <w:szCs w:val="20"/>
            <w:lang w:val="en" w:eastAsia="en-US" w:bidi="ar-SA"/>
          </w:rPr>
          <w:t>https://himaginesolutions.com/himagine-tumor-talk-webinar/</w:t>
        </w:r>
      </w:hyperlink>
      <w:r>
        <w:rPr>
          <w:rFonts w:cs="Arial" w:ascii="Arial" w:hAnsi="Arial"/>
          <w:color w:val="000000"/>
          <w:sz w:val="22"/>
          <w:szCs w:val="20"/>
          <w:lang w:val="en"/>
        </w:rPr>
        <w:t xml:space="preserve"> view previously recorded webinars at </w:t>
      </w:r>
      <w:hyperlink r:id="rId46">
        <w:r>
          <w:rPr>
            <w:rStyle w:val="InternetLink"/>
            <w:rFonts w:cs="Arial" w:ascii="Arial" w:hAnsi="Arial"/>
            <w:sz w:val="22"/>
            <w:szCs w:val="20"/>
            <w:lang w:val="en" w:eastAsia="en-US" w:bidi="ar-SA"/>
          </w:rPr>
          <w:t>https://himaginesolutions.com/previous-webinars/</w:t>
        </w:r>
      </w:hyperlink>
      <w:r>
        <w:rPr>
          <w:rFonts w:cs="Arial" w:ascii="Arial" w:hAnsi="Arial"/>
          <w:color w:val="000000"/>
          <w:sz w:val="22"/>
          <w:szCs w:val="20"/>
          <w:lang w:val="en"/>
        </w:rPr>
        <w:t xml:space="preserve"> </w:t>
      </w:r>
    </w:p>
    <w:p>
      <w:pPr>
        <w:pStyle w:val="Normal"/>
        <w:bidi w:val="0"/>
        <w:ind w:left="0" w:right="0" w:hanging="0"/>
        <w:rPr>
          <w:rFonts w:ascii="Arial" w:hAnsi="Arial" w:cs="Arial"/>
          <w:color w:val="000000"/>
          <w:sz w:val="22"/>
          <w:szCs w:val="20"/>
          <w:lang w:val="en"/>
        </w:rPr>
      </w:pPr>
      <w:r>
        <w:rPr>
          <w:rFonts w:cs="Arial" w:ascii="Arial" w:hAnsi="Arial"/>
          <w:color w:val="000000"/>
          <w:sz w:val="22"/>
          <w:szCs w:val="20"/>
          <w:lang w:val="en"/>
        </w:rPr>
      </w:r>
    </w:p>
    <w:p>
      <w:pPr>
        <w:pStyle w:val="Normal"/>
        <w:bidi w:val="0"/>
        <w:ind w:left="0" w:right="0" w:hanging="0"/>
        <w:rPr/>
      </w:pPr>
      <w:r>
        <w:rPr>
          <w:rFonts w:cs="Arial" w:ascii="Arial" w:hAnsi="Arial"/>
          <w:b/>
          <w:color w:val="000000"/>
          <w:sz w:val="22"/>
          <w:szCs w:val="20"/>
          <w:lang w:val="en"/>
        </w:rPr>
        <w:t>Registry Partner’s Coding Break</w:t>
      </w:r>
      <w:r>
        <w:rPr>
          <w:rFonts w:cs="Arial" w:ascii="Arial" w:hAnsi="Arial"/>
          <w:color w:val="000000"/>
          <w:sz w:val="22"/>
          <w:szCs w:val="20"/>
          <w:lang w:val="en"/>
        </w:rPr>
        <w:t xml:space="preserve">- Educational presentations on YouTube created by Registry Partners </w:t>
      </w:r>
      <w:hyperlink r:id="rId47">
        <w:r>
          <w:rPr>
            <w:rStyle w:val="InternetLink"/>
            <w:rFonts w:cs="Arial" w:ascii="Arial" w:hAnsi="Arial"/>
            <w:sz w:val="22"/>
            <w:szCs w:val="20"/>
            <w:lang w:val="en" w:eastAsia="en-US" w:bidi="ar-SA"/>
          </w:rPr>
          <w:t>https://www.youtube.com/channel/UCFePdWVva8gfosv7jL11tyQ</w:t>
        </w:r>
      </w:hyperlink>
    </w:p>
    <w:p>
      <w:pPr>
        <w:pStyle w:val="Normal"/>
        <w:bidi w:val="0"/>
        <w:ind w:left="0" w:right="0" w:hanging="0"/>
        <w:rPr>
          <w:rFonts w:ascii="Arial" w:hAnsi="Arial" w:cs="Arial"/>
          <w:color w:val="000000"/>
          <w:sz w:val="22"/>
          <w:szCs w:val="20"/>
          <w:lang w:val="en"/>
        </w:rPr>
      </w:pPr>
      <w:r>
        <w:rPr>
          <w:rFonts w:cs="Arial" w:ascii="Arial" w:hAnsi="Arial"/>
          <w:color w:val="000000"/>
          <w:sz w:val="22"/>
          <w:szCs w:val="20"/>
          <w:lang w:val="en"/>
        </w:rPr>
      </w:r>
    </w:p>
    <w:tbl>
      <w:tblPr>
        <w:tblW w:w="9360" w:type="dxa"/>
        <w:jc w:val="left"/>
        <w:tblInd w:w="108" w:type="dxa"/>
        <w:tblCellMar>
          <w:top w:w="0" w:type="dxa"/>
          <w:left w:w="108" w:type="dxa"/>
          <w:bottom w:w="0" w:type="dxa"/>
          <w:right w:w="108" w:type="dxa"/>
        </w:tblCellMar>
      </w:tblPr>
      <w:tblGrid>
        <w:gridCol w:w="7859"/>
        <w:gridCol w:w="1500"/>
      </w:tblGrid>
      <w:tr>
        <w:trPr/>
        <w:tc>
          <w:tcPr>
            <w:tcW w:w="7859" w:type="dxa"/>
            <w:tcBorders/>
          </w:tcPr>
          <w:p>
            <w:pPr>
              <w:pStyle w:val="Normal"/>
              <w:tabs>
                <w:tab w:val="clear" w:pos="720"/>
              </w:tabs>
              <w:bidi w:val="0"/>
              <w:ind w:left="0" w:right="0" w:hanging="0"/>
              <w:rPr/>
            </w:pPr>
            <w:r>
              <w:rPr>
                <w:rStyle w:val="Articletitle"/>
                <w:rFonts w:cs="Arial" w:ascii="Arial" w:hAnsi="Arial"/>
                <w:b/>
                <w:bCs/>
                <w:sz w:val="22"/>
                <w:szCs w:val="22"/>
              </w:rPr>
              <w:t xml:space="preserve">Register today for CAnswer Forum LIVE Webinar: </w:t>
            </w:r>
            <w:hyperlink r:id="rId48">
              <w:r>
                <w:rPr>
                  <w:rStyle w:val="InternetLink"/>
                  <w:rFonts w:cs="Arial" w:ascii="Arial" w:hAnsi="Arial"/>
                  <w:b/>
                  <w:bCs/>
                  <w:color w:val="0000FF"/>
                  <w:sz w:val="22"/>
                  <w:szCs w:val="22"/>
                  <w:u w:val="single"/>
                </w:rPr>
                <w:t>https://www.facs.org/caforumlive</w:t>
              </w:r>
            </w:hyperlink>
            <w:r>
              <w:rPr>
                <w:rStyle w:val="Articletitle"/>
                <w:rFonts w:cs="Arial" w:ascii="Arial" w:hAnsi="Arial"/>
                <w:b/>
                <w:bCs/>
                <w:sz w:val="22"/>
                <w:szCs w:val="22"/>
              </w:rPr>
              <w:t xml:space="preserve"> </w:t>
            </w:r>
          </w:p>
        </w:tc>
        <w:tc>
          <w:tcPr>
            <w:tcW w:w="1500" w:type="dxa"/>
            <w:tcBorders/>
            <w:tcMar>
              <w:left w:w="0" w:type="dxa"/>
              <w:right w:w="0" w:type="dxa"/>
            </w:tcMar>
          </w:tcPr>
          <w:p>
            <w:pPr>
              <w:pStyle w:val="Normal"/>
              <w:tabs>
                <w:tab w:val="clear" w:pos="720"/>
              </w:tabs>
              <w:bidi w:val="0"/>
              <w:ind w:left="0" w:right="0" w:hanging="0"/>
              <w:jc w:val="right"/>
              <w:rPr>
                <w:rFonts w:ascii="Times New Roman" w:hAnsi="Times New Roman"/>
              </w:rPr>
            </w:pPr>
            <w:r>
              <w:rPr/>
            </w:r>
          </w:p>
        </w:tc>
      </w:tr>
    </w:tbl>
    <w:p>
      <w:pPr>
        <w:pStyle w:val="Normal"/>
        <w:bidi w:val="0"/>
        <w:ind w:left="0" w:right="0" w:hanging="0"/>
        <w:rPr/>
      </w:pPr>
      <w:r>
        <w:rPr>
          <w:rStyle w:val="Articledescription"/>
          <w:rFonts w:cs="Arial" w:ascii="Arial" w:hAnsi="Arial"/>
          <w:sz w:val="22"/>
          <w:szCs w:val="22"/>
          <w:lang w:val="en-US" w:eastAsia="en-US" w:bidi="ar-SA"/>
        </w:rPr>
        <w:t xml:space="preserve">The </w:t>
      </w:r>
      <w:hyperlink r:id="rId49">
        <w:r>
          <w:rPr>
            <w:rStyle w:val="InternetLink"/>
            <w:rFonts w:cs="Arial" w:ascii="Arial" w:hAnsi="Arial"/>
            <w:sz w:val="22"/>
            <w:szCs w:val="22"/>
            <w:lang w:val="en-US" w:eastAsia="en-US" w:bidi="ar-SA"/>
          </w:rPr>
          <w:t>American College of Surgeons (ACS) Cancer Programs</w:t>
        </w:r>
      </w:hyperlink>
      <w:r>
        <w:rPr>
          <w:rStyle w:val="Articledescription"/>
          <w:rFonts w:cs="Arial" w:ascii="Arial" w:hAnsi="Arial"/>
          <w:sz w:val="22"/>
          <w:szCs w:val="22"/>
          <w:lang w:val="en-US" w:eastAsia="en-US" w:bidi="ar-SA"/>
        </w:rPr>
        <w:t xml:space="preserve"> is applying for continuing education credits from the National Cancer Registrars Association (NCRA) for all upcoming 2020 CAnswer Forum LIVE webinars. Mark your calendars for these upcoming events: </w:t>
      </w:r>
    </w:p>
    <w:p>
      <w:pPr>
        <w:pStyle w:val="Normal"/>
        <w:numPr>
          <w:ilvl w:val="0"/>
          <w:numId w:val="2"/>
        </w:numPr>
        <w:tabs>
          <w:tab w:val="left" w:pos="720" w:leader="none"/>
        </w:tabs>
        <w:bidi w:val="0"/>
        <w:spacing w:beforeAutospacing="1" w:after="0"/>
        <w:ind w:left="720" w:right="0" w:hanging="360"/>
        <w:rPr/>
      </w:pPr>
      <w:r>
        <w:rPr>
          <w:rStyle w:val="Articledescription"/>
          <w:rFonts w:cs="Arial" w:ascii="Arial" w:hAnsi="Arial"/>
          <w:sz w:val="22"/>
          <w:szCs w:val="22"/>
          <w:lang w:val="en-US" w:eastAsia="en-US" w:bidi="ar-SA"/>
        </w:rPr>
        <w:t xml:space="preserve">CAnswer Forum LIVE—August 5, 2020 </w:t>
      </w:r>
    </w:p>
    <w:p>
      <w:pPr>
        <w:pStyle w:val="Normal"/>
        <w:numPr>
          <w:ilvl w:val="0"/>
          <w:numId w:val="2"/>
        </w:numPr>
        <w:tabs>
          <w:tab w:val="left" w:pos="720" w:leader="none"/>
        </w:tabs>
        <w:bidi w:val="0"/>
        <w:spacing w:before="0" w:after="0"/>
        <w:ind w:left="720" w:right="0" w:hanging="360"/>
        <w:rPr/>
      </w:pPr>
      <w:r>
        <w:rPr>
          <w:rStyle w:val="Articledescription"/>
          <w:rFonts w:cs="Arial" w:ascii="Arial" w:hAnsi="Arial"/>
          <w:sz w:val="22"/>
          <w:szCs w:val="22"/>
          <w:lang w:val="en-US" w:eastAsia="en-US" w:bidi="ar-SA"/>
        </w:rPr>
        <w:t xml:space="preserve">CAnswer Forum LIVE—October 14, 2020 </w:t>
      </w:r>
    </w:p>
    <w:p>
      <w:pPr>
        <w:pStyle w:val="Normal"/>
        <w:numPr>
          <w:ilvl w:val="0"/>
          <w:numId w:val="2"/>
        </w:numPr>
        <w:tabs>
          <w:tab w:val="left" w:pos="720" w:leader="none"/>
        </w:tabs>
        <w:bidi w:val="0"/>
        <w:spacing w:before="0" w:afterAutospacing="1"/>
        <w:ind w:left="720" w:right="0" w:hanging="360"/>
        <w:rPr/>
      </w:pPr>
      <w:r>
        <w:rPr>
          <w:rStyle w:val="Articledescription"/>
          <w:rFonts w:cs="Arial" w:ascii="Arial" w:hAnsi="Arial"/>
          <w:sz w:val="22"/>
          <w:szCs w:val="22"/>
          <w:lang w:val="en-US" w:eastAsia="en-US" w:bidi="ar-SA"/>
        </w:rPr>
        <w:t xml:space="preserve">CAnswer Forum LIVE—December 9, 2020 </w:t>
      </w:r>
    </w:p>
    <w:p>
      <w:pPr>
        <w:pStyle w:val="Normal"/>
        <w:bidi w:val="0"/>
        <w:ind w:left="0" w:right="0" w:hanging="0"/>
        <w:rPr/>
      </w:pPr>
      <w:r>
        <w:rPr>
          <w:rFonts w:cs="Arial" w:ascii="Arial" w:hAnsi="Arial"/>
          <w:b/>
          <w:sz w:val="22"/>
          <w:szCs w:val="20"/>
          <w:u w:val="single"/>
        </w:rPr>
        <w:t>AJCC</w:t>
      </w:r>
      <w:r>
        <w:rPr>
          <w:rFonts w:cs="Arial" w:ascii="Arial" w:hAnsi="Arial"/>
          <w:b/>
          <w:sz w:val="22"/>
          <w:szCs w:val="20"/>
        </w:rPr>
        <w:t>:</w:t>
      </w:r>
    </w:p>
    <w:p>
      <w:pPr>
        <w:pStyle w:val="Normal"/>
        <w:bidi w:val="0"/>
        <w:ind w:left="0" w:right="0" w:hanging="0"/>
        <w:rPr>
          <w:lang w:val="en"/>
        </w:rPr>
      </w:pPr>
      <w:r>
        <w:rPr>
          <w:rFonts w:cs="Arial" w:ascii="Arial" w:hAnsi="Arial"/>
          <w:color w:val="000000"/>
          <w:sz w:val="22"/>
          <w:szCs w:val="20"/>
          <w:lang w:val="en"/>
        </w:rPr>
        <w:t>View recordings of the live webinars for no charge.</w:t>
      </w:r>
    </w:p>
    <w:p>
      <w:pPr>
        <w:pStyle w:val="Normal"/>
        <w:bidi w:val="0"/>
        <w:ind w:left="0" w:right="0" w:hanging="0"/>
        <w:rPr>
          <w:rFonts w:ascii="Arial" w:hAnsi="Arial" w:cs="Arial"/>
          <w:b/>
          <w:b/>
          <w:sz w:val="20"/>
          <w:szCs w:val="20"/>
        </w:rPr>
      </w:pPr>
      <w:r>
        <w:rPr>
          <w:rFonts w:cs="Arial" w:ascii="Arial" w:hAnsi="Arial"/>
          <w:b/>
          <w:sz w:val="20"/>
          <w:szCs w:val="20"/>
        </w:rPr>
      </w:r>
    </w:p>
    <w:p>
      <w:pPr>
        <w:pStyle w:val="Normal"/>
        <w:bidi w:val="0"/>
        <w:ind w:left="0" w:right="0" w:hanging="0"/>
        <w:rPr/>
      </w:pPr>
      <w:r>
        <w:rPr>
          <w:rFonts w:eastAsia="Century Gothic" w:cs="Arial" w:ascii="Arial" w:hAnsi="Arial"/>
          <w:sz w:val="20"/>
          <w:szCs w:val="20"/>
        </w:rPr>
        <w:t>7</w:t>
      </w:r>
      <w:r>
        <w:rPr>
          <w:rFonts w:eastAsia="Century Gothic" w:cs="Arial" w:ascii="Arial" w:hAnsi="Arial"/>
          <w:sz w:val="20"/>
          <w:szCs w:val="20"/>
          <w:vertAlign w:val="superscript"/>
        </w:rPr>
        <w:t>th</w:t>
      </w:r>
      <w:r>
        <w:rPr>
          <w:rFonts w:eastAsia="Century Gothic" w:cs="Arial" w:ascii="Arial" w:hAnsi="Arial"/>
          <w:sz w:val="20"/>
          <w:szCs w:val="20"/>
        </w:rPr>
        <w:t xml:space="preserve"> Edition Webinars - </w:t>
      </w:r>
      <w:hyperlink r:id="rId50">
        <w:r>
          <w:rPr>
            <w:rFonts w:eastAsia="Century Gothic" w:cs="Arial" w:ascii="Arial" w:hAnsi="Arial"/>
            <w:color w:val="0000FF"/>
            <w:sz w:val="20"/>
            <w:szCs w:val="20"/>
            <w:u w:val="single"/>
          </w:rPr>
          <w:t>https://cancerstaging.org/CSE/Registrar/Pages/Seventh-Edition-Webinars.aspx</w:t>
        </w:r>
      </w:hyperlink>
    </w:p>
    <w:p>
      <w:pPr>
        <w:pStyle w:val="Normal"/>
        <w:bidi w:val="0"/>
        <w:ind w:left="0" w:right="0" w:hanging="0"/>
        <w:rPr/>
      </w:pPr>
      <w:r>
        <w:rPr>
          <w:rFonts w:eastAsia="Century Gothic" w:cs="Arial" w:ascii="Arial" w:hAnsi="Arial"/>
          <w:sz w:val="20"/>
          <w:szCs w:val="20"/>
        </w:rPr>
        <w:t xml:space="preserve">8th Edition Webinars- </w:t>
      </w:r>
      <w:hyperlink r:id="rId51">
        <w:r>
          <w:rPr>
            <w:rFonts w:eastAsia="Century Gothic" w:cs="Arial" w:ascii="Arial" w:hAnsi="Arial"/>
            <w:color w:val="0000FF"/>
            <w:sz w:val="20"/>
            <w:szCs w:val="20"/>
            <w:u w:val="single"/>
          </w:rPr>
          <w:t>https://cancerstaging.org/CSE/Registrar/Pages/8thEditionWebinars.aspx</w:t>
        </w:r>
      </w:hyperlink>
    </w:p>
    <w:p>
      <w:pPr>
        <w:pStyle w:val="Normal"/>
        <w:bidi w:val="0"/>
        <w:ind w:left="0" w:right="0" w:hanging="0"/>
        <w:rPr/>
      </w:pPr>
      <w:r>
        <w:rPr>
          <w:rFonts w:eastAsia="Century Gothic" w:cs="Arial" w:ascii="Arial" w:hAnsi="Arial"/>
          <w:sz w:val="20"/>
          <w:szCs w:val="20"/>
        </w:rPr>
        <w:t>Disease Site Webinars</w:t>
      </w:r>
      <w:r>
        <w:rPr>
          <w:rFonts w:cs="Arial" w:ascii="Arial" w:hAnsi="Arial"/>
          <w:sz w:val="20"/>
          <w:szCs w:val="20"/>
        </w:rPr>
        <w:t xml:space="preserve"> - </w:t>
      </w:r>
      <w:hyperlink r:id="rId52">
        <w:r>
          <w:rPr>
            <w:rFonts w:eastAsia="Century Gothic" w:cs="Arial" w:ascii="Arial" w:hAnsi="Arial"/>
            <w:color w:val="0000FF"/>
            <w:sz w:val="20"/>
            <w:szCs w:val="20"/>
            <w:u w:val="single"/>
          </w:rPr>
          <w:t>https://cancerstaging.org/CSE/Registrar/Pages/Disease-Site-Webinars.aspx</w:t>
        </w:r>
      </w:hyperlink>
      <w:r>
        <w:rPr>
          <w:rFonts w:eastAsia="Century Gothic" w:cs="Arial" w:ascii="Arial" w:hAnsi="Arial"/>
          <w:sz w:val="20"/>
          <w:szCs w:val="20"/>
        </w:rPr>
        <w:t xml:space="preserve"> </w:t>
      </w:r>
    </w:p>
    <w:p>
      <w:pPr>
        <w:pStyle w:val="Normal"/>
        <w:bidi w:val="0"/>
        <w:ind w:left="0" w:right="0" w:hanging="0"/>
        <w:rPr/>
      </w:pPr>
      <w:r>
        <w:rPr>
          <w:rFonts w:eastAsia="Century Gothic" w:cs="Arial" w:ascii="Arial" w:hAnsi="Arial"/>
          <w:sz w:val="20"/>
          <w:szCs w:val="20"/>
        </w:rPr>
        <w:t>AJCC Curriculum</w:t>
      </w:r>
      <w:r>
        <w:rPr>
          <w:rFonts w:cs="Arial" w:ascii="Arial" w:hAnsi="Arial"/>
          <w:sz w:val="20"/>
          <w:szCs w:val="20"/>
        </w:rPr>
        <w:t xml:space="preserve"> - </w:t>
      </w:r>
      <w:hyperlink r:id="rId53">
        <w:r>
          <w:rPr>
            <w:rFonts w:eastAsia="Century Gothic" w:cs="Arial" w:ascii="Arial" w:hAnsi="Arial"/>
            <w:color w:val="0000FF"/>
            <w:sz w:val="20"/>
            <w:szCs w:val="20"/>
            <w:u w:val="single"/>
          </w:rPr>
          <w:t>https://cancerstaging.org/CSE/Registrar/Pages/AJCC-Curriculum.aspx</w:t>
        </w:r>
      </w:hyperlink>
    </w:p>
    <w:p>
      <w:pPr>
        <w:pStyle w:val="Normal"/>
        <w:bidi w:val="0"/>
        <w:ind w:left="0" w:right="0" w:hanging="0"/>
        <w:rPr/>
      </w:pPr>
      <w:r>
        <w:rPr>
          <w:rFonts w:cs="Arial" w:ascii="Arial" w:hAnsi="Arial"/>
          <w:bCs/>
          <w:color w:val="141414"/>
          <w:sz w:val="20"/>
          <w:szCs w:val="20"/>
        </w:rPr>
        <w:t xml:space="preserve">Registrar’s Guide to Chapter </w:t>
      </w:r>
      <w:r>
        <w:rPr>
          <w:rFonts w:cs="Arial" w:ascii="Arial" w:hAnsi="Arial"/>
          <w:sz w:val="20"/>
          <w:szCs w:val="20"/>
        </w:rPr>
        <w:t xml:space="preserve">- </w:t>
      </w:r>
      <w:hyperlink r:id="rId54">
        <w:r>
          <w:rPr>
            <w:rFonts w:eastAsia="Century Gothic" w:cs="Arial" w:ascii="Arial" w:hAnsi="Arial"/>
            <w:color w:val="0000FF"/>
            <w:sz w:val="20"/>
            <w:szCs w:val="20"/>
            <w:u w:val="single"/>
          </w:rPr>
          <w:t>https://cancerstaging.org/CSE/Registrar/Pages/Presentations.aspx</w:t>
        </w:r>
      </w:hyperlink>
    </w:p>
    <w:p>
      <w:pPr>
        <w:pStyle w:val="Normal"/>
        <w:bidi w:val="0"/>
        <w:ind w:left="0" w:right="0" w:hanging="0"/>
        <w:rPr/>
      </w:pPr>
      <w:r>
        <w:rPr>
          <w:rFonts w:cs="Arial" w:ascii="Arial" w:hAnsi="Arial"/>
          <w:bCs/>
          <w:color w:val="141414"/>
          <w:sz w:val="20"/>
          <w:szCs w:val="20"/>
        </w:rPr>
        <w:t xml:space="preserve">AJCC TNM Category Options </w:t>
      </w:r>
      <w:r>
        <w:rPr>
          <w:rFonts w:cs="Arial" w:ascii="Arial" w:hAnsi="Arial"/>
          <w:sz w:val="20"/>
          <w:szCs w:val="20"/>
        </w:rPr>
        <w:t xml:space="preserve">- </w:t>
      </w:r>
      <w:hyperlink r:id="rId55">
        <w:r>
          <w:rPr>
            <w:rFonts w:eastAsia="Century Gothic" w:cs="Arial" w:ascii="Arial" w:hAnsi="Arial"/>
            <w:color w:val="0000FF"/>
            <w:sz w:val="20"/>
            <w:szCs w:val="20"/>
            <w:u w:val="single"/>
          </w:rPr>
          <w:t>https://cancerstaging.org/CSE/Registrar/Pages/Presentations.aspx</w:t>
        </w:r>
      </w:hyperlink>
    </w:p>
    <w:p>
      <w:pPr>
        <w:pStyle w:val="Normal"/>
        <w:bidi w:val="0"/>
        <w:ind w:left="0" w:right="0" w:hanging="0"/>
        <w:rPr>
          <w:rFonts w:ascii="Arial" w:hAnsi="Arial" w:eastAsia="Century Gothic" w:cs="Arial"/>
          <w:sz w:val="20"/>
          <w:szCs w:val="20"/>
        </w:rPr>
      </w:pPr>
      <w:r>
        <w:rPr>
          <w:rFonts w:eastAsia="Century Gothic" w:cs="Arial" w:ascii="Arial" w:hAnsi="Arial"/>
          <w:sz w:val="20"/>
          <w:szCs w:val="20"/>
        </w:rPr>
      </w:r>
    </w:p>
    <w:p>
      <w:pPr>
        <w:pStyle w:val="Normal"/>
        <w:bidi w:val="0"/>
        <w:spacing w:lineRule="auto" w:line="276" w:before="0" w:after="200"/>
        <w:ind w:left="0" w:right="0" w:hanging="0"/>
        <w:rPr/>
      </w:pPr>
      <w:hyperlink r:id="rId56">
        <w:r>
          <w:rPr/>
          <w:drawing>
            <wp:inline distT="0" distB="0" distL="0" distR="0">
              <wp:extent cx="2400300" cy="36385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7"/>
                      <a:stretch>
                        <a:fillRect/>
                      </a:stretch>
                    </pic:blipFill>
                    <pic:spPr bwMode="auto">
                      <a:xfrm>
                        <a:off x="0" y="0"/>
                        <a:ext cx="2400300" cy="363855"/>
                      </a:xfrm>
                      <a:prstGeom prst="rect">
                        <a:avLst/>
                      </a:prstGeom>
                    </pic:spPr>
                  </pic:pic>
                </a:graphicData>
              </a:graphic>
            </wp:inline>
          </w:drawing>
        </w:r>
      </w:hyperlink>
      <w:hyperlink r:id="rId58">
        <w:r>
          <w:rPr>
            <w:rFonts w:eastAsia="Century Gothic" w:cs="Arial" w:ascii="Arial" w:hAnsi="Arial"/>
            <w:color w:val="0000FF"/>
            <w:sz w:val="22"/>
            <w:szCs w:val="22"/>
            <w:u w:val="single"/>
          </w:rPr>
          <w:t>http://www.ncregistrars.com/</w:t>
        </w:r>
      </w:hyperlink>
    </w:p>
    <w:p>
      <w:pPr>
        <w:pStyle w:val="Normal"/>
        <w:bidi w:val="0"/>
        <w:spacing w:lineRule="auto" w:line="276" w:before="0" w:after="200"/>
        <w:ind w:left="0" w:right="0" w:hanging="0"/>
        <w:rPr/>
      </w:pPr>
      <w:r>
        <w:rPr>
          <w:rFonts w:eastAsia="Century Gothic" w:cs="Arial" w:ascii="Arial" w:hAnsi="Arial"/>
          <w:sz w:val="22"/>
          <w:szCs w:val="22"/>
        </w:rPr>
        <w:t>ANCCR purchased subscriptions to the NAACCR Cancer Registry &amp; Surveillance Webinar Series.</w:t>
      </w:r>
    </w:p>
    <w:p>
      <w:pPr>
        <w:pStyle w:val="Normal"/>
        <w:bidi w:val="0"/>
        <w:spacing w:lineRule="auto" w:line="276" w:before="0" w:after="200"/>
        <w:ind w:left="0" w:right="0" w:hanging="0"/>
        <w:rPr/>
      </w:pPr>
      <w:r>
        <w:rPr>
          <w:rFonts w:eastAsia="Century Gothic" w:cs="Arial" w:ascii="Arial" w:hAnsi="Arial"/>
          <w:sz w:val="22"/>
          <w:szCs w:val="22"/>
        </w:rPr>
        <w:t>Each webinar is three hours (3 CE's) and will be presented on the first Thursday of each month. After the LIVE version, a link to the webinar will be available to ANCCR members on the ANCCR website, as soon as it is available each month.  The sessions are 9:00 am – 12:00 pm.</w:t>
      </w:r>
    </w:p>
    <w:p>
      <w:pPr>
        <w:pStyle w:val="Normal"/>
        <w:bidi w:val="0"/>
        <w:spacing w:lineRule="auto" w:line="276" w:before="0" w:after="200"/>
        <w:ind w:left="0" w:right="0" w:hanging="0"/>
        <w:rPr>
          <w:rFonts w:ascii="Century Gothic" w:hAnsi="Century Gothic" w:eastAsia="Century Gothic" w:cs="Century Gothic"/>
          <w:sz w:val="22"/>
          <w:szCs w:val="22"/>
          <w:u w:val="single"/>
        </w:rPr>
      </w:pPr>
      <w:r>
        <w:rPr>
          <w:rFonts w:eastAsia="Century Gothic" w:cs="Century Gothic" w:ascii="Century Gothic" w:hAnsi="Century Gothic"/>
          <w:sz w:val="22"/>
          <w:szCs w:val="22"/>
          <w:u w:val="single"/>
        </w:rPr>
      </w:r>
    </w:p>
    <w:p>
      <w:pPr>
        <w:pStyle w:val="Normal"/>
        <w:bidi w:val="0"/>
        <w:spacing w:lineRule="auto" w:line="276" w:before="0" w:after="200"/>
        <w:ind w:left="0" w:right="0" w:hanging="0"/>
        <w:rPr/>
      </w:pPr>
      <w:r>
        <w:rPr>
          <w:rFonts w:eastAsia="Century Gothic" w:cs="Century Gothic" w:ascii="Century Gothic" w:hAnsi="Century Gothic"/>
          <w:sz w:val="22"/>
          <w:szCs w:val="22"/>
          <w:u w:val="single"/>
        </w:rPr>
        <w:t>Host sites:</w:t>
      </w:r>
    </w:p>
    <w:p>
      <w:pPr>
        <w:pStyle w:val="Normal"/>
        <w:numPr>
          <w:ilvl w:val="0"/>
          <w:numId w:val="1"/>
        </w:numPr>
        <w:bidi w:val="0"/>
        <w:ind w:left="360" w:right="0" w:hanging="360"/>
        <w:rPr/>
      </w:pPr>
      <w:r>
        <w:rPr>
          <w:rFonts w:eastAsia="Calibri" w:cs="Arial" w:ascii="Arial" w:hAnsi="Arial"/>
          <w:sz w:val="22"/>
          <w:szCs w:val="22"/>
        </w:rPr>
        <w:t>Wake Forest Baptist Medical Center, Winston-Salem, NC</w:t>
      </w:r>
    </w:p>
    <w:p>
      <w:pPr>
        <w:pStyle w:val="Normal"/>
        <w:bidi w:val="0"/>
        <w:ind w:left="360" w:right="0" w:hanging="0"/>
        <w:rPr/>
      </w:pPr>
      <w:r>
        <w:rPr>
          <w:rFonts w:eastAsia="Calibri" w:cs="Arial" w:ascii="Arial" w:hAnsi="Arial"/>
          <w:sz w:val="22"/>
          <w:szCs w:val="22"/>
        </w:rPr>
        <w:t xml:space="preserve">Contact:  Jenean Burris: </w:t>
      </w:r>
      <w:hyperlink r:id="rId59">
        <w:r>
          <w:rPr>
            <w:rFonts w:eastAsia="Calibri" w:cs="Arial" w:ascii="Arial" w:hAnsi="Arial"/>
            <w:color w:val="0000FF"/>
            <w:sz w:val="22"/>
            <w:szCs w:val="22"/>
            <w:u w:val="single"/>
          </w:rPr>
          <w:t>jburris@wakehealth.edu</w:t>
        </w:r>
      </w:hyperlink>
    </w:p>
    <w:p>
      <w:pPr>
        <w:pStyle w:val="Normal"/>
        <w:numPr>
          <w:ilvl w:val="0"/>
          <w:numId w:val="1"/>
        </w:numPr>
        <w:bidi w:val="0"/>
        <w:ind w:left="360" w:right="0" w:hanging="360"/>
        <w:rPr/>
      </w:pPr>
      <w:r>
        <w:rPr>
          <w:rFonts w:cs="Arial" w:ascii="Arial" w:hAnsi="Arial"/>
          <w:bCs/>
          <w:sz w:val="22"/>
          <w:szCs w:val="22"/>
        </w:rPr>
        <w:t>Carolinas Medical Center, Charlotte, NC</w:t>
      </w:r>
    </w:p>
    <w:p>
      <w:pPr>
        <w:pStyle w:val="Normal"/>
        <w:bidi w:val="0"/>
        <w:ind w:left="360" w:right="0" w:hanging="0"/>
        <w:rPr/>
      </w:pPr>
      <w:r>
        <w:rPr>
          <w:rFonts w:cs="Arial" w:ascii="Arial" w:hAnsi="Arial"/>
          <w:sz w:val="22"/>
          <w:szCs w:val="22"/>
        </w:rPr>
        <w:t xml:space="preserve">Contact: Paige Tedder  </w:t>
      </w:r>
      <w:hyperlink r:id="rId60">
        <w:r>
          <w:rPr>
            <w:rFonts w:cs="Arial" w:ascii="Arial" w:hAnsi="Arial"/>
            <w:color w:val="0000FF"/>
            <w:sz w:val="22"/>
            <w:szCs w:val="22"/>
            <w:u w:val="single"/>
          </w:rPr>
          <w:t>paige.tedder@carolinashealthcare.org</w:t>
        </w:r>
      </w:hyperlink>
    </w:p>
    <w:p>
      <w:pPr>
        <w:pStyle w:val="Normal"/>
        <w:numPr>
          <w:ilvl w:val="0"/>
          <w:numId w:val="1"/>
        </w:numPr>
        <w:bidi w:val="0"/>
        <w:ind w:left="360" w:right="0" w:hanging="360"/>
        <w:rPr/>
      </w:pPr>
      <w:r>
        <w:rPr>
          <w:rFonts w:cs="Arial" w:ascii="Arial" w:hAnsi="Arial"/>
          <w:bCs/>
          <w:sz w:val="22"/>
          <w:szCs w:val="22"/>
        </w:rPr>
        <w:t>UNC Rex Hospital, Raleigh, NC</w:t>
        <w:tab/>
      </w:r>
    </w:p>
    <w:p>
      <w:pPr>
        <w:pStyle w:val="Normal"/>
        <w:bidi w:val="0"/>
        <w:ind w:left="360" w:right="0" w:hanging="0"/>
        <w:rPr/>
      </w:pPr>
      <w:r>
        <w:rPr>
          <w:rFonts w:cs="Arial" w:ascii="Arial" w:hAnsi="Arial"/>
          <w:sz w:val="22"/>
          <w:szCs w:val="22"/>
        </w:rPr>
        <w:t xml:space="preserve">Contact:   Kathleen Foote   </w:t>
      </w:r>
      <w:hyperlink r:id="rId61">
        <w:r>
          <w:rPr>
            <w:rFonts w:cs="Arial" w:ascii="Arial" w:hAnsi="Arial"/>
            <w:color w:val="0000FF"/>
            <w:sz w:val="22"/>
            <w:szCs w:val="22"/>
            <w:u w:val="single"/>
          </w:rPr>
          <w:t>Kathleen.foote@unchealth.unc.edu</w:t>
        </w:r>
      </w:hyperlink>
    </w:p>
    <w:p>
      <w:pPr>
        <w:pStyle w:val="Normal"/>
        <w:numPr>
          <w:ilvl w:val="0"/>
          <w:numId w:val="1"/>
        </w:numPr>
        <w:bidi w:val="0"/>
        <w:ind w:left="360" w:right="0" w:hanging="360"/>
        <w:rPr/>
      </w:pPr>
      <w:r>
        <w:rPr>
          <w:rFonts w:cs="Arial" w:ascii="Arial" w:hAnsi="Arial"/>
          <w:bCs/>
          <w:sz w:val="22"/>
          <w:szCs w:val="22"/>
        </w:rPr>
        <w:t>Vidant Medical Center, Greenville, NC</w:t>
      </w:r>
    </w:p>
    <w:p>
      <w:pPr>
        <w:pStyle w:val="Normal"/>
        <w:bidi w:val="0"/>
        <w:ind w:left="360" w:right="0" w:hanging="0"/>
        <w:rPr/>
      </w:pPr>
      <w:r>
        <w:rPr>
          <w:rFonts w:cs="Arial" w:ascii="Arial" w:hAnsi="Arial"/>
          <w:sz w:val="22"/>
          <w:szCs w:val="22"/>
        </w:rPr>
        <w:t xml:space="preserve">Contact:  Merrill Bright    </w:t>
      </w:r>
      <w:hyperlink r:id="rId62">
        <w:r>
          <w:rPr>
            <w:rFonts w:cs="Arial" w:ascii="Arial" w:hAnsi="Arial"/>
            <w:color w:val="0000FF"/>
            <w:sz w:val="22"/>
            <w:szCs w:val="22"/>
            <w:u w:val="single"/>
          </w:rPr>
          <w:t>Merrill.bright@vidanthealth.com</w:t>
        </w:r>
      </w:hyperlink>
    </w:p>
    <w:p>
      <w:pPr>
        <w:pStyle w:val="Normal"/>
        <w:bidi w:val="0"/>
        <w:ind w:left="360" w:right="0" w:hanging="0"/>
        <w:rPr>
          <w:rFonts w:ascii="Arial" w:hAnsi="Arial" w:cs="Arial"/>
          <w:color w:val="0000FF"/>
          <w:sz w:val="22"/>
          <w:szCs w:val="22"/>
          <w:u w:val="single"/>
        </w:rPr>
      </w:pPr>
      <w:r>
        <w:rPr>
          <w:rFonts w:cs="Arial" w:ascii="Arial" w:hAnsi="Arial"/>
          <w:color w:val="0000FF"/>
          <w:sz w:val="22"/>
          <w:szCs w:val="22"/>
          <w:u w:val="single"/>
        </w:rPr>
      </w:r>
    </w:p>
    <w:p>
      <w:pPr>
        <w:pStyle w:val="Normal"/>
        <w:bidi w:val="0"/>
        <w:ind w:left="360" w:right="0" w:hanging="0"/>
        <w:rPr>
          <w:rFonts w:ascii="Arial" w:hAnsi="Arial" w:cs="Arial"/>
          <w:color w:val="0000FF"/>
          <w:sz w:val="22"/>
          <w:szCs w:val="22"/>
          <w:u w:val="single"/>
        </w:rPr>
      </w:pPr>
      <w:r>
        <w:rPr>
          <w:rFonts w:cs="Arial" w:ascii="Arial" w:hAnsi="Arial"/>
          <w:color w:val="0000FF"/>
          <w:sz w:val="22"/>
          <w:szCs w:val="22"/>
          <w:u w:val="single"/>
        </w:rPr>
      </w:r>
    </w:p>
    <w:p>
      <w:pPr>
        <w:pStyle w:val="Normal"/>
        <w:bidi w:val="0"/>
        <w:spacing w:lineRule="auto" w:line="276" w:before="0" w:after="200"/>
        <w:ind w:left="0" w:right="0" w:hanging="0"/>
        <w:rPr/>
      </w:pPr>
      <w:r>
        <w:rPr>
          <w:rFonts w:eastAsia="Century Gothic" w:cs="Arial" w:ascii="Arial" w:hAnsi="Arial"/>
          <w:b/>
          <w:sz w:val="22"/>
          <w:szCs w:val="22"/>
          <w:u w:val="single"/>
        </w:rPr>
        <w:t>NAACCR webinar schedule:</w:t>
      </w:r>
    </w:p>
    <w:p>
      <w:pPr>
        <w:pStyle w:val="NoSpacing"/>
        <w:bidi w:val="0"/>
        <w:ind w:left="0" w:right="0" w:hanging="0"/>
        <w:rPr/>
      </w:pPr>
      <w:r>
        <w:rPr>
          <w:rFonts w:cs="Arial" w:ascii="Arial" w:hAnsi="Arial"/>
        </w:rPr>
        <w:t>8/6/20- Corpus Uteri</w:t>
      </w:r>
    </w:p>
    <w:p>
      <w:pPr>
        <w:pStyle w:val="NoSpacing"/>
        <w:bidi w:val="0"/>
        <w:ind w:left="0" w:right="0" w:hanging="0"/>
        <w:rPr/>
      </w:pPr>
      <w:r>
        <w:rPr>
          <w:rFonts w:cs="Arial" w:ascii="Arial" w:hAnsi="Arial"/>
        </w:rPr>
        <w:t>9/3/20- Coding Pitfalls</w:t>
      </w:r>
    </w:p>
    <w:p>
      <w:pPr>
        <w:pStyle w:val="NoSpacing"/>
        <w:bidi w:val="0"/>
        <w:ind w:left="0" w:right="0" w:hanging="0"/>
        <w:rPr/>
      </w:pPr>
      <w:r>
        <w:rPr>
          <w:rFonts w:cs="Arial" w:ascii="Arial" w:hAnsi="Arial"/>
        </w:rPr>
        <w:t>10/01/20- Prostate</w:t>
      </w:r>
    </w:p>
    <w:p>
      <w:pPr>
        <w:pStyle w:val="NoSpacing"/>
        <w:bidi w:val="0"/>
        <w:ind w:left="0" w:right="0" w:hanging="0"/>
        <w:rPr/>
      </w:pPr>
      <w:r>
        <w:rPr>
          <w:rFonts w:cs="Arial" w:ascii="Arial" w:hAnsi="Arial"/>
        </w:rPr>
        <w:t>11/05/20- Lung</w:t>
      </w:r>
    </w:p>
    <w:p>
      <w:pPr>
        <w:pStyle w:val="NoSpacing"/>
        <w:bidi w:val="0"/>
        <w:ind w:left="0" w:right="0" w:hanging="0"/>
        <w:rPr/>
      </w:pPr>
      <w:r>
        <w:rPr>
          <w:rFonts w:cs="Arial" w:ascii="Arial" w:hAnsi="Arial"/>
        </w:rPr>
        <w:t>12/03/20 - Thyroid</w:t>
      </w:r>
    </w:p>
    <w:p>
      <w:pPr>
        <w:pStyle w:val="NoSpacing"/>
        <w:bidi w:val="0"/>
        <w:ind w:left="0" w:right="0" w:hanging="0"/>
        <w:rPr/>
      </w:pPr>
      <w:r>
        <w:rPr>
          <w:rFonts w:cs="Arial" w:ascii="Arial" w:hAnsi="Arial"/>
        </w:rPr>
        <w:t>1/7/21- Treatment</w:t>
      </w:r>
    </w:p>
    <w:p>
      <w:pPr>
        <w:pStyle w:val="NoSpacing"/>
        <w:bidi w:val="0"/>
        <w:ind w:left="0" w:right="0" w:hanging="0"/>
        <w:rPr/>
      </w:pPr>
      <w:r>
        <w:rPr>
          <w:rFonts w:cs="Arial" w:ascii="Arial" w:hAnsi="Arial"/>
        </w:rPr>
        <w:t>2/4/21- Lymphoma</w:t>
      </w:r>
    </w:p>
    <w:p>
      <w:pPr>
        <w:pStyle w:val="NoSpacing"/>
        <w:bidi w:val="0"/>
        <w:ind w:left="0" w:right="0" w:hanging="0"/>
        <w:rPr/>
      </w:pPr>
      <w:r>
        <w:rPr>
          <w:rFonts w:cs="Arial" w:ascii="Arial" w:hAnsi="Arial"/>
        </w:rPr>
        <w:t>3/4/21- Abstract and Coding Boot Camp</w:t>
      </w:r>
    </w:p>
    <w:p>
      <w:pPr>
        <w:pStyle w:val="NoSpacing"/>
        <w:bidi w:val="0"/>
        <w:ind w:left="0" w:right="0" w:hanging="0"/>
        <w:rPr/>
      </w:pPr>
      <w:r>
        <w:rPr>
          <w:rFonts w:cs="Arial" w:ascii="Arial" w:hAnsi="Arial"/>
        </w:rPr>
        <w:t>4/1/21- Larynx</w:t>
      </w:r>
    </w:p>
    <w:p>
      <w:pPr>
        <w:pStyle w:val="NoSpacing"/>
        <w:bidi w:val="0"/>
        <w:ind w:left="0" w:right="0" w:hanging="0"/>
        <w:rPr/>
      </w:pPr>
      <w:r>
        <w:rPr>
          <w:rFonts w:cs="Arial" w:ascii="Arial" w:hAnsi="Arial"/>
        </w:rPr>
        <w:t>5/6/21- Pancreas</w:t>
      </w:r>
    </w:p>
    <w:p>
      <w:pPr>
        <w:pStyle w:val="NoSpacing"/>
        <w:bidi w:val="0"/>
        <w:ind w:left="0" w:right="0" w:hanging="0"/>
        <w:rPr/>
      </w:pPr>
      <w:r>
        <w:rPr>
          <w:rFonts w:cs="Arial" w:ascii="Arial" w:hAnsi="Arial"/>
        </w:rPr>
        <w:t>6/17/21- Kidney</w:t>
      </w:r>
    </w:p>
    <w:p>
      <w:pPr>
        <w:pStyle w:val="NoSpacing"/>
        <w:bidi w:val="0"/>
        <w:ind w:left="0" w:right="0" w:hanging="0"/>
        <w:rPr/>
      </w:pPr>
      <w:r>
        <w:rPr>
          <w:rFonts w:cs="Arial" w:ascii="Arial" w:hAnsi="Arial"/>
        </w:rPr>
        <w:t>7/8/21- Quality in COC Accreditation</w:t>
      </w:r>
    </w:p>
    <w:p>
      <w:pPr>
        <w:pStyle w:val="NoSpacing"/>
        <w:bidi w:val="0"/>
        <w:ind w:left="0" w:right="0" w:hanging="0"/>
        <w:rPr/>
      </w:pPr>
      <w:r>
        <w:rPr>
          <w:rFonts w:cs="Arial" w:ascii="Arial" w:hAnsi="Arial"/>
        </w:rPr>
        <w:t>8/5/21- Breast</w:t>
      </w:r>
    </w:p>
    <w:p>
      <w:pPr>
        <w:pStyle w:val="NoSpacing"/>
        <w:bidi w:val="0"/>
        <w:ind w:left="0" w:right="0" w:hanging="0"/>
        <w:rPr/>
      </w:pPr>
      <w:r>
        <w:rPr>
          <w:rFonts w:cs="Arial" w:ascii="Arial" w:hAnsi="Arial"/>
        </w:rPr>
        <w:t>9/2/21 Coding Pitfalls</w:t>
      </w:r>
    </w:p>
    <w:p>
      <w:pPr>
        <w:pStyle w:val="NoSpacing"/>
        <w:bidi w:val="0"/>
        <w:ind w:left="0" w:right="0" w:hanging="0"/>
        <w:rPr>
          <w:rFonts w:ascii="Arial" w:hAnsi="Arial" w:cs="Arial"/>
        </w:rPr>
      </w:pPr>
      <w:r>
        <w:rPr>
          <w:rFonts w:cs="Arial" w:ascii="Arial" w:hAnsi="Arial"/>
        </w:rPr>
      </w:r>
    </w:p>
    <w:p>
      <w:pPr>
        <w:pStyle w:val="Normal"/>
        <w:bidi w:val="0"/>
        <w:ind w:left="0" w:right="0" w:hanging="0"/>
        <w:rPr>
          <w:rFonts w:ascii="Arial" w:hAnsi="Arial" w:cs="Arial"/>
          <w:b/>
          <w:b/>
          <w:i/>
          <w:i/>
          <w:color w:val="C00000"/>
          <w:sz w:val="22"/>
          <w:u w:val="single"/>
        </w:rPr>
      </w:pPr>
      <w:r>
        <w:rPr>
          <w:rFonts w:cs="Arial" w:ascii="Arial" w:hAnsi="Arial"/>
          <w:b/>
          <w:i/>
          <w:color w:val="C00000"/>
          <w:sz w:val="22"/>
          <w:u w:val="single"/>
        </w:rPr>
      </w:r>
    </w:p>
    <w:p>
      <w:pPr>
        <w:pStyle w:val="Normal"/>
        <w:bidi w:val="0"/>
        <w:ind w:left="0" w:right="0" w:hanging="0"/>
        <w:rPr/>
      </w:pPr>
      <w:r>
        <w:rPr>
          <w:rFonts w:cs="Arial" w:ascii="Arial" w:hAnsi="Arial"/>
          <w:b/>
          <w:i/>
          <w:color w:val="C00000"/>
          <w:sz w:val="22"/>
          <w:u w:val="single"/>
        </w:rPr>
        <w:t>Coding, Staging and Abstracting Resources:</w:t>
      </w:r>
    </w:p>
    <w:p>
      <w:pPr>
        <w:pStyle w:val="Normal"/>
        <w:bidi w:val="0"/>
        <w:ind w:left="0" w:right="0" w:hanging="0"/>
        <w:rPr>
          <w:rFonts w:ascii="Arial" w:hAnsi="Arial" w:cs="Arial"/>
          <w:b/>
          <w:b/>
          <w:i/>
          <w:i/>
          <w:color w:val="C00000"/>
          <w:sz w:val="22"/>
          <w:u w:val="single"/>
        </w:rPr>
      </w:pPr>
      <w:r>
        <w:rPr>
          <w:rFonts w:cs="Arial" w:ascii="Arial" w:hAnsi="Arial"/>
          <w:b/>
          <w:i/>
          <w:color w:val="C00000"/>
          <w:sz w:val="22"/>
          <w:u w:val="single"/>
        </w:rPr>
      </w:r>
    </w:p>
    <w:p>
      <w:pPr>
        <w:pStyle w:val="NoSpacing"/>
        <w:bidi w:val="0"/>
        <w:ind w:left="0" w:right="0" w:hanging="0"/>
        <w:rPr/>
      </w:pPr>
      <w:r>
        <w:rPr>
          <w:rFonts w:eastAsia="Century Gothic" w:cs="Arial" w:ascii="Arial" w:hAnsi="Arial"/>
          <w:color w:val="333333"/>
          <w:u w:val="single"/>
        </w:rPr>
        <w:t>*Online version of IDC-O-3</w:t>
      </w:r>
      <w:r>
        <w:rPr>
          <w:rFonts w:eastAsia="Century Gothic" w:cs="Arial" w:ascii="Arial" w:hAnsi="Arial"/>
          <w:color w:val="333333"/>
        </w:rPr>
        <w:t xml:space="preserve"> </w:t>
      </w:r>
      <w:hyperlink r:id="rId63">
        <w:r>
          <w:rPr>
            <w:rStyle w:val="InternetLink"/>
            <w:rFonts w:eastAsia="Century Gothic" w:cs="Arial" w:ascii="Arial" w:hAnsi="Arial"/>
            <w:lang w:val="en-US" w:eastAsia="en-US" w:bidi="ar-SA"/>
          </w:rPr>
          <w:t>http://www.iacr.com.fr/index.php?option=com_content&amp;view=category&amp;layout=blog&amp;id=100&amp;Itemid=577</w:t>
        </w:r>
      </w:hyperlink>
      <w:r>
        <w:rPr>
          <w:rFonts w:eastAsia="Century Gothic" w:cs="Arial" w:ascii="Arial" w:hAnsi="Arial"/>
          <w:color w:val="333333"/>
        </w:rPr>
        <w:t xml:space="preserve"> </w:t>
      </w:r>
      <w:r>
        <w:rPr>
          <w:rFonts w:eastAsia="Century Gothic" w:cs="Arial" w:ascii="Arial" w:hAnsi="Arial"/>
          <w:bCs/>
          <w:color w:val="333333"/>
        </w:rPr>
        <w:t>the new version, ICD-O-3.2, is recommended for use from 2020.</w:t>
      </w:r>
    </w:p>
    <w:p>
      <w:pPr>
        <w:pStyle w:val="NoSpacing"/>
        <w:bidi w:val="0"/>
        <w:ind w:left="0" w:right="0" w:hanging="0"/>
        <w:rPr/>
      </w:pPr>
      <w:r>
        <w:rPr>
          <w:rFonts w:eastAsia="Century Gothic" w:cs="Arial" w:ascii="Arial" w:hAnsi="Arial"/>
          <w:color w:val="333333"/>
        </w:rPr>
        <w:t>*</w:t>
      </w:r>
      <w:r>
        <w:rPr>
          <w:rFonts w:eastAsia="Century Gothic" w:cs="Arial" w:ascii="Arial" w:hAnsi="Arial"/>
          <w:color w:val="333333"/>
          <w:u w:val="single"/>
        </w:rPr>
        <w:t>SEER 2018 updated case finding list</w:t>
      </w:r>
      <w:r>
        <w:rPr>
          <w:rFonts w:eastAsia="Century Gothic" w:cs="Arial" w:ascii="Arial" w:hAnsi="Arial"/>
          <w:color w:val="333333"/>
        </w:rPr>
        <w:t xml:space="preserve">- </w:t>
      </w:r>
      <w:hyperlink r:id="rId64">
        <w:r>
          <w:rPr>
            <w:rStyle w:val="InternetLink"/>
            <w:rFonts w:eastAsia="Century Gothic" w:cs="Arial" w:ascii="Arial" w:hAnsi="Arial"/>
            <w:lang w:val="en-US" w:eastAsia="en-US" w:bidi="ar-SA"/>
          </w:rPr>
          <w:t>https://seer.cancer.gov/tools/casefinding/</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rPr>
        <w:t>*</w:t>
      </w:r>
      <w:r>
        <w:rPr>
          <w:rFonts w:eastAsia="Century Gothic" w:cs="Arial" w:ascii="Arial" w:hAnsi="Arial"/>
          <w:color w:val="333333"/>
          <w:u w:val="single"/>
        </w:rPr>
        <w:t xml:space="preserve">IDD-O-3 coding table for new terms- </w:t>
      </w:r>
      <w:r>
        <w:rPr>
          <w:rFonts w:eastAsia="Century Gothic" w:cs="Arial" w:ascii="Arial" w:hAnsi="Arial"/>
          <w:color w:val="333333"/>
        </w:rPr>
        <w:t xml:space="preserve">updated 8/22/18- </w:t>
      </w:r>
      <w:hyperlink r:id="rId65">
        <w:r>
          <w:rPr>
            <w:rStyle w:val="InternetLink"/>
            <w:rFonts w:eastAsia="Century Gothic" w:cs="Arial" w:ascii="Arial" w:hAnsi="Arial"/>
            <w:lang w:val="en-US" w:eastAsia="en-US" w:bidi="ar-SA"/>
          </w:rPr>
          <w:t>https://www.naaccr.org/wp-content/uploads/2018/08/Updated-8-22-18-ICD-O-3-alpha-table.pdf</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u w:val="single"/>
        </w:rPr>
        <w:t>*SEER RX</w:t>
      </w:r>
      <w:r>
        <w:rPr>
          <w:rFonts w:eastAsia="Century Gothic" w:cs="Arial" w:ascii="Arial" w:hAnsi="Arial"/>
          <w:color w:val="333333"/>
        </w:rPr>
        <w:t xml:space="preserve">- </w:t>
      </w:r>
      <w:hyperlink r:id="rId66">
        <w:r>
          <w:rPr>
            <w:rStyle w:val="InternetLink"/>
            <w:rFonts w:eastAsia="Century Gothic" w:cs="Arial" w:ascii="Arial" w:hAnsi="Arial"/>
            <w:lang w:val="en-US" w:eastAsia="en-US" w:bidi="ar-SA"/>
          </w:rPr>
          <w:t>https://seer.cancer.gov/seertools/seerrx/</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u w:val="single"/>
        </w:rPr>
        <w:t>*SEER*RSA</w:t>
      </w:r>
      <w:r>
        <w:rPr>
          <w:rFonts w:eastAsia="Century Gothic" w:cs="Arial" w:ascii="Arial" w:hAnsi="Arial"/>
          <w:color w:val="333333"/>
        </w:rPr>
        <w:t xml:space="preserve">- </w:t>
      </w:r>
      <w:hyperlink r:id="rId67">
        <w:r>
          <w:rPr>
            <w:rStyle w:val="InternetLink"/>
            <w:rFonts w:eastAsia="Century Gothic" w:cs="Arial" w:ascii="Arial" w:hAnsi="Arial"/>
            <w:lang w:val="en-US" w:eastAsia="en-US" w:bidi="ar-SA"/>
          </w:rPr>
          <w:t>https://staging.seer.cancer.gov/</w:t>
        </w:r>
      </w:hyperlink>
      <w:r>
        <w:rPr>
          <w:rFonts w:eastAsia="Century Gothic" w:cs="Arial" w:ascii="Arial" w:hAnsi="Arial"/>
          <w:color w:val="333333"/>
        </w:rPr>
        <w:t xml:space="preserve"> </w:t>
      </w:r>
    </w:p>
    <w:p>
      <w:pPr>
        <w:pStyle w:val="Default"/>
        <w:bidi w:val="0"/>
        <w:ind w:left="0" w:right="0" w:hanging="0"/>
        <w:rPr/>
      </w:pPr>
      <w:r>
        <w:rPr>
          <w:rFonts w:eastAsia="Century Gothic" w:cs="Arial" w:ascii="Arial" w:hAnsi="Arial"/>
          <w:color w:val="333333"/>
          <w:sz w:val="22"/>
          <w:szCs w:val="22"/>
          <w:u w:val="single"/>
        </w:rPr>
        <w:t xml:space="preserve">* EOD 2018 General Coding Instructions- </w:t>
      </w:r>
      <w:hyperlink r:id="rId68">
        <w:r>
          <w:rPr>
            <w:rStyle w:val="InternetLink"/>
            <w:rFonts w:eastAsia="Century Gothic" w:cs="Arial" w:ascii="Arial" w:hAnsi="Arial"/>
            <w:sz w:val="22"/>
            <w:szCs w:val="22"/>
            <w:lang w:val="en-US" w:eastAsia="en-US" w:bidi="ar-SA"/>
          </w:rPr>
          <w:t>https://seer.cancer.gov/tools/staging/2018-EOD-General-Instructions.pdf</w:t>
        </w:r>
      </w:hyperlink>
      <w:r>
        <w:rPr>
          <w:rFonts w:eastAsia="Century Gothic" w:cs="Arial" w:ascii="Arial" w:hAnsi="Arial"/>
          <w:color w:val="333333"/>
          <w:sz w:val="22"/>
          <w:szCs w:val="22"/>
          <w:u w:val="single"/>
        </w:rPr>
        <w:t xml:space="preserve"> </w:t>
      </w:r>
    </w:p>
    <w:p>
      <w:pPr>
        <w:pStyle w:val="NoSpacing"/>
        <w:bidi w:val="0"/>
        <w:ind w:left="0" w:right="0" w:hanging="0"/>
        <w:rPr/>
      </w:pPr>
      <w:r>
        <w:rPr>
          <w:rFonts w:eastAsia="Century Gothic" w:cs="Arial" w:ascii="Arial" w:hAnsi="Arial"/>
          <w:color w:val="333333"/>
          <w:u w:val="single"/>
        </w:rPr>
        <w:t>*Ask a SEER Registrar</w:t>
      </w:r>
      <w:r>
        <w:rPr>
          <w:rFonts w:eastAsia="Century Gothic" w:cs="Arial" w:ascii="Arial" w:hAnsi="Arial"/>
          <w:color w:val="333333"/>
        </w:rPr>
        <w:t xml:space="preserve">- </w:t>
      </w:r>
      <w:hyperlink r:id="rId69">
        <w:r>
          <w:rPr>
            <w:rStyle w:val="InternetLink"/>
            <w:rFonts w:eastAsia="Century Gothic" w:cs="Arial" w:ascii="Arial" w:hAnsi="Arial"/>
            <w:lang w:val="en-US" w:eastAsia="en-US" w:bidi="ar-SA"/>
          </w:rPr>
          <w:t>https://seer.cancer.gov/registrars/contact.html</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rPr>
        <w:t>*</w:t>
      </w:r>
      <w:r>
        <w:rPr>
          <w:rFonts w:eastAsia="Century Gothic" w:cs="Arial" w:ascii="Arial" w:hAnsi="Arial"/>
          <w:color w:val="333333"/>
          <w:u w:val="single"/>
        </w:rPr>
        <w:t xml:space="preserve">CAncer Forum- </w:t>
      </w:r>
      <w:hyperlink r:id="rId70">
        <w:r>
          <w:rPr>
            <w:rStyle w:val="InternetLink"/>
            <w:rFonts w:eastAsia="Century Gothic" w:cs="Arial" w:ascii="Arial" w:hAnsi="Arial"/>
            <w:lang w:val="en-US" w:eastAsia="en-US" w:bidi="ar-SA"/>
          </w:rPr>
          <w:t>http://cancerbulletin.facs.org/forums/help</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u w:val="single"/>
        </w:rPr>
        <w:t>*Hematopoietic and Lymphoid Neoplasm Database</w:t>
      </w:r>
      <w:r>
        <w:rPr>
          <w:rFonts w:eastAsia="Century Gothic" w:cs="Arial" w:ascii="Arial" w:hAnsi="Arial"/>
          <w:color w:val="333333"/>
        </w:rPr>
        <w:t xml:space="preserve">- </w:t>
      </w:r>
      <w:hyperlink r:id="rId71">
        <w:r>
          <w:rPr>
            <w:rStyle w:val="InternetLink"/>
            <w:rFonts w:eastAsia="Century Gothic" w:cs="Arial" w:ascii="Arial" w:hAnsi="Arial"/>
            <w:lang w:val="en-US" w:eastAsia="en-US" w:bidi="ar-SA"/>
          </w:rPr>
          <w:t>https://seer.cancer.gov/seertools/hemelymph/</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u w:val="single"/>
        </w:rPr>
        <w:t>*Solid Tumor Rules</w:t>
      </w:r>
      <w:r>
        <w:rPr>
          <w:rFonts w:eastAsia="Century Gothic" w:cs="Arial" w:ascii="Arial" w:hAnsi="Arial"/>
          <w:color w:val="333333"/>
        </w:rPr>
        <w:t xml:space="preserve">-  </w:t>
      </w:r>
      <w:hyperlink r:id="rId72">
        <w:r>
          <w:rPr>
            <w:rStyle w:val="InternetLink"/>
            <w:rFonts w:eastAsia="Century Gothic" w:cs="Arial" w:ascii="Arial" w:hAnsi="Arial"/>
            <w:lang w:val="en-US" w:eastAsia="en-US" w:bidi="ar-SA"/>
          </w:rPr>
          <w:t>https://seer.cancer.gov/tools/solidtumor/</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u w:val="single"/>
        </w:rPr>
        <w:t>*NAACCR</w:t>
      </w:r>
      <w:r>
        <w:rPr>
          <w:rFonts w:eastAsia="Century Gothic" w:cs="Arial" w:ascii="Arial" w:hAnsi="Arial"/>
          <w:color w:val="333333"/>
        </w:rPr>
        <w:t xml:space="preserve">- Site specific data items (SSDI/GRADE)-  </w:t>
      </w:r>
      <w:hyperlink r:id="rId73">
        <w:r>
          <w:rPr>
            <w:rStyle w:val="InternetLink"/>
            <w:rFonts w:eastAsia="Century Gothic" w:cs="Arial" w:ascii="Arial" w:hAnsi="Arial"/>
            <w:lang w:val="en-US" w:eastAsia="en-US" w:bidi="ar-SA"/>
          </w:rPr>
          <w:t>https://apps.naaccr.org/ssdi/list/</w:t>
        </w:r>
      </w:hyperlink>
      <w:r>
        <w:rPr>
          <w:rFonts w:eastAsia="Century Gothic" w:cs="Arial" w:ascii="Arial" w:hAnsi="Arial"/>
          <w:color w:val="333333"/>
          <w:u w:val="single"/>
        </w:rPr>
        <w:t xml:space="preserve"> </w:t>
      </w:r>
    </w:p>
    <w:p>
      <w:pPr>
        <w:pStyle w:val="NoSpacing"/>
        <w:bidi w:val="0"/>
        <w:ind w:left="0" w:right="0" w:hanging="0"/>
        <w:rPr/>
      </w:pPr>
      <w:r>
        <w:rPr>
          <w:rFonts w:eastAsia="Century Gothic" w:cs="Arial" w:ascii="Arial" w:hAnsi="Arial"/>
          <w:color w:val="333333"/>
          <w:u w:val="single"/>
        </w:rPr>
        <w:t xml:space="preserve">*STORE- </w:t>
      </w:r>
      <w:r>
        <w:rPr>
          <w:rFonts w:eastAsia="Century Gothic" w:cs="Arial" w:ascii="Arial" w:hAnsi="Arial"/>
          <w:color w:val="00B0F0"/>
        </w:rPr>
        <w:t xml:space="preserve"> </w:t>
      </w:r>
      <w:hyperlink r:id="rId74">
        <w:r>
          <w:rPr>
            <w:rStyle w:val="InternetLink"/>
            <w:rFonts w:eastAsia="Century Gothic" w:cs="Arial" w:ascii="Arial" w:hAnsi="Arial"/>
            <w:lang w:val="en-US" w:eastAsia="en-US" w:bidi="ar-SA"/>
          </w:rPr>
          <w:t>https://www.facs.org/~/media/files/quality%20programs/cancer/ncdb/store_manual_2018.ashx</w:t>
        </w:r>
      </w:hyperlink>
      <w:r>
        <w:rPr>
          <w:rFonts w:eastAsia="Century Gothic" w:cs="Arial" w:ascii="Arial" w:hAnsi="Arial"/>
          <w:color w:val="00B0F0"/>
        </w:rPr>
        <w:t xml:space="preserve"> </w:t>
      </w:r>
    </w:p>
    <w:p>
      <w:pPr>
        <w:pStyle w:val="NoSpacing"/>
        <w:bidi w:val="0"/>
        <w:ind w:left="0" w:right="0" w:hanging="0"/>
        <w:rPr/>
      </w:pPr>
      <w:r>
        <w:rPr>
          <w:rFonts w:eastAsia="Century Gothic" w:cs="Arial" w:ascii="Arial" w:hAnsi="Arial"/>
          <w:color w:val="333333"/>
          <w:u w:val="single"/>
        </w:rPr>
        <w:t>*AJCC</w:t>
      </w:r>
      <w:r>
        <w:rPr>
          <w:rFonts w:eastAsia="Century Gothic" w:cs="Arial" w:ascii="Arial" w:hAnsi="Arial"/>
          <w:color w:val="333333"/>
        </w:rPr>
        <w:t>- Errata for 8</w:t>
      </w:r>
      <w:r>
        <w:rPr>
          <w:rFonts w:eastAsia="Century Gothic" w:cs="Arial" w:ascii="Arial" w:hAnsi="Arial"/>
          <w:color w:val="333333"/>
          <w:vertAlign w:val="superscript"/>
        </w:rPr>
        <w:t>th</w:t>
      </w:r>
      <w:r>
        <w:rPr>
          <w:rFonts w:eastAsia="Century Gothic" w:cs="Arial" w:ascii="Arial" w:hAnsi="Arial"/>
          <w:color w:val="333333"/>
        </w:rPr>
        <w:t xml:space="preserve"> edition AJCC </w:t>
      </w:r>
      <w:hyperlink r:id="rId75">
        <w:r>
          <w:rPr>
            <w:rFonts w:eastAsia="Century Gothic" w:cs="Arial" w:ascii="Arial" w:hAnsi="Arial"/>
            <w:color w:val="0000FF"/>
            <w:u w:val="single"/>
          </w:rPr>
          <w:t>https://cancerstaging.org/references-tools/deskreferences/Pages/default.aspx</w:t>
        </w:r>
      </w:hyperlink>
      <w:r>
        <w:rPr>
          <w:rFonts w:eastAsia="Century Gothic" w:cs="Arial" w:ascii="Arial" w:hAnsi="Arial"/>
          <w:color w:val="333333"/>
        </w:rPr>
        <w:t xml:space="preserve"> </w:t>
      </w:r>
    </w:p>
    <w:p>
      <w:pPr>
        <w:pStyle w:val="NoSpacing"/>
        <w:bidi w:val="0"/>
        <w:ind w:left="0" w:right="0" w:hanging="0"/>
        <w:rPr/>
      </w:pPr>
      <w:r>
        <w:rPr>
          <w:rFonts w:eastAsia="Century Gothic" w:cs="Arial" w:ascii="Arial" w:hAnsi="Arial"/>
          <w:color w:val="333333"/>
          <w:u w:val="single"/>
        </w:rPr>
        <w:t>*Informational Abstracts-</w:t>
      </w:r>
      <w:r>
        <w:rPr>
          <w:rFonts w:eastAsia="Century Gothic" w:cs="Arial" w:ascii="Arial" w:hAnsi="Arial"/>
          <w:sz w:val="28"/>
          <w:szCs w:val="28"/>
        </w:rPr>
        <w:t xml:space="preserve">  </w:t>
      </w:r>
      <w:hyperlink r:id="rId76">
        <w:r>
          <w:rPr>
            <w:rStyle w:val="InternetLink"/>
            <w:rFonts w:eastAsia="Century Gothic" w:cs="Arial" w:ascii="Arial" w:hAnsi="Arial"/>
            <w:lang w:val="en-US" w:eastAsia="en-US" w:bidi="ar-SA"/>
          </w:rPr>
          <w:t>http://www.cancerregistryeducation.org/rr</w:t>
        </w:r>
      </w:hyperlink>
      <w:r>
        <w:rPr>
          <w:rStyle w:val="InternetLink"/>
          <w:rFonts w:eastAsia="Century Gothic" w:cs="Arial" w:ascii="Arial" w:hAnsi="Arial"/>
          <w:lang w:val="en-US" w:eastAsia="en-US" w:bidi="ar-SA"/>
        </w:rPr>
        <w:t xml:space="preserve"> </w:t>
      </w:r>
    </w:p>
    <w:p>
      <w:pPr>
        <w:pStyle w:val="NoSpacing"/>
        <w:bidi w:val="0"/>
        <w:ind w:left="0" w:right="0" w:hanging="0"/>
        <w:rPr/>
      </w:pPr>
      <w:r>
        <w:rPr>
          <w:rStyle w:val="InternetLink"/>
          <w:rFonts w:eastAsia="Century Gothic" w:cs="Arial" w:ascii="Arial" w:hAnsi="Arial"/>
          <w:lang w:val="en-US" w:eastAsia="en-US" w:bidi="ar-SA"/>
        </w:rPr>
        <w:t xml:space="preserve">*NCI Cancer Types- </w:t>
      </w:r>
      <w:hyperlink r:id="rId77">
        <w:r>
          <w:rPr>
            <w:rStyle w:val="InternetLink"/>
            <w:rFonts w:eastAsia="Century Gothic" w:cs="Arial" w:ascii="Arial" w:hAnsi="Arial"/>
            <w:lang w:val="en-US" w:eastAsia="en-US" w:bidi="ar-SA"/>
          </w:rPr>
          <w:t>https://www.cancer.gov/types</w:t>
        </w:r>
      </w:hyperlink>
      <w:r>
        <w:rPr>
          <w:rFonts w:cs="Arial" w:ascii="Arial" w:hAnsi="Arial"/>
          <w:color w:val="0070C0"/>
        </w:rPr>
        <w:t xml:space="preserve"> </w:t>
      </w:r>
    </w:p>
    <w:p>
      <w:pPr>
        <w:pStyle w:val="NoSpacing"/>
        <w:bidi w:val="0"/>
        <w:ind w:left="0" w:right="0" w:hanging="0"/>
        <w:rPr/>
      </w:pPr>
      <w:r>
        <w:rPr>
          <w:rFonts w:cs="Arial" w:ascii="Arial" w:hAnsi="Arial"/>
          <w:u w:val="single"/>
        </w:rPr>
        <w:t>* RQRS User Guide</w:t>
      </w:r>
      <w:r>
        <w:rPr>
          <w:rFonts w:cs="Arial" w:ascii="Arial" w:hAnsi="Arial"/>
          <w:color w:val="0070C0"/>
        </w:rPr>
        <w:t xml:space="preserve">- </w:t>
      </w:r>
      <w:hyperlink r:id="rId78">
        <w:r>
          <w:rPr>
            <w:rStyle w:val="InternetLink"/>
            <w:rFonts w:cs="Arial" w:ascii="Arial" w:hAnsi="Arial"/>
            <w:lang w:val="en-US" w:eastAsia="en-US" w:bidi="ar-SA"/>
          </w:rPr>
          <w:t>https://www.facs.org/~/media/files/quality%20programs/cancer/ncdb/rqrs_userguide.ashx</w:t>
        </w:r>
      </w:hyperlink>
      <w:r>
        <w:rPr>
          <w:rFonts w:cs="Arial" w:ascii="Arial" w:hAnsi="Arial"/>
          <w:color w:val="0070C0"/>
        </w:rPr>
        <w:t xml:space="preserve"> </w:t>
      </w:r>
    </w:p>
    <w:p>
      <w:pPr>
        <w:pStyle w:val="NoSpacing"/>
        <w:bidi w:val="0"/>
        <w:ind w:left="0" w:right="0" w:hanging="0"/>
        <w:rPr/>
      </w:pPr>
      <w:r>
        <w:rPr>
          <w:rFonts w:cs="Arial" w:ascii="Arial" w:hAnsi="Arial"/>
          <w:u w:val="single"/>
        </w:rPr>
        <w:t xml:space="preserve">*CTR Guide to Coding XRT- </w:t>
      </w:r>
      <w:hyperlink r:id="rId79">
        <w:r>
          <w:rPr>
            <w:rStyle w:val="InternetLink"/>
            <w:rFonts w:cs="Arial" w:ascii="Arial" w:hAnsi="Arial"/>
            <w:lang w:val="en-US" w:eastAsia="en-US" w:bidi="ar-SA"/>
          </w:rPr>
          <w:t>https://www.facs.org/~/media/files/quality%20programs/cancer/ncdb/case_studies_coding_radiation_treatment.ashx</w:t>
        </w:r>
      </w:hyperlink>
      <w:r>
        <w:rPr>
          <w:rFonts w:cs="Arial" w:ascii="Arial" w:hAnsi="Arial"/>
          <w:u w:val="single"/>
        </w:rPr>
        <w:t xml:space="preserve"> </w:t>
      </w:r>
      <w:r>
        <w:rPr>
          <w:rFonts w:cs="Arial" w:ascii="Arial" w:hAnsi="Arial"/>
          <w:color w:val="0070C0"/>
        </w:rPr>
        <w:tab/>
      </w:r>
    </w:p>
    <w:p>
      <w:pPr>
        <w:pStyle w:val="NoSpacing"/>
        <w:bidi w:val="0"/>
        <w:ind w:left="0" w:right="0" w:hanging="0"/>
        <w:rPr/>
      </w:pPr>
      <w:r>
        <w:rPr>
          <w:rFonts w:cs="Arial" w:ascii="Arial" w:hAnsi="Arial"/>
          <w:u w:val="single"/>
        </w:rPr>
        <w:t>*NCDB- The Corner Store</w:t>
      </w:r>
      <w:r>
        <w:rPr>
          <w:rFonts w:cs="Arial" w:ascii="Arial" w:hAnsi="Arial"/>
        </w:rPr>
        <w:t xml:space="preserve">- </w:t>
      </w:r>
      <w:hyperlink r:id="rId80">
        <w:r>
          <w:rPr>
            <w:rStyle w:val="InternetLink"/>
            <w:rFonts w:cs="Arial" w:ascii="Arial" w:hAnsi="Arial"/>
            <w:lang w:val="en-US" w:eastAsia="en-US" w:bidi="ar-SA"/>
          </w:rPr>
          <w:t>https://www.facs.org/quality-programs/cancer/news</w:t>
        </w:r>
      </w:hyperlink>
      <w:r>
        <w:rPr>
          <w:rFonts w:cs="Arial" w:ascii="Arial" w:hAnsi="Arial"/>
          <w:color w:val="0070C0"/>
        </w:rPr>
        <w:t xml:space="preserve"> </w:t>
      </w:r>
    </w:p>
    <w:p>
      <w:pPr>
        <w:pStyle w:val="NoSpacing"/>
        <w:bidi w:val="0"/>
        <w:ind w:left="0" w:right="0" w:hanging="0"/>
        <w:rPr/>
      </w:pPr>
      <w:r>
        <w:rPr>
          <w:rFonts w:cs="Arial" w:ascii="Arial" w:hAnsi="Arial"/>
          <w:u w:val="single"/>
        </w:rPr>
        <w:t>*American College of Surgeons</w:t>
      </w:r>
      <w:r>
        <w:rPr>
          <w:rFonts w:cs="Arial" w:ascii="Arial" w:hAnsi="Arial"/>
        </w:rPr>
        <w:t xml:space="preserve">- Subscribe to the newsletter </w:t>
      </w:r>
      <w:r>
        <w:rPr>
          <w:rFonts w:cs="Arial" w:ascii="Arial" w:hAnsi="Arial"/>
          <w:i/>
        </w:rPr>
        <w:t xml:space="preserve">The Brief </w:t>
      </w:r>
      <w:r>
        <w:rPr>
          <w:rFonts w:cs="Arial" w:ascii="Arial" w:hAnsi="Arial"/>
        </w:rPr>
        <w:t xml:space="preserve">at </w:t>
      </w:r>
      <w:hyperlink r:id="rId81">
        <w:r>
          <w:rPr>
            <w:rStyle w:val="InternetLink"/>
            <w:rFonts w:cs="Arial" w:ascii="Arial" w:hAnsi="Arial"/>
            <w:lang w:val="en-US" w:eastAsia="en-US" w:bidi="ar-SA"/>
          </w:rPr>
          <w:t>http://multibriefs.com/optin.php?ACSORG</w:t>
        </w:r>
      </w:hyperlink>
      <w:r>
        <w:rPr>
          <w:rFonts w:cs="Arial" w:ascii="Arial" w:hAnsi="Arial"/>
        </w:rPr>
        <w:t xml:space="preserve"> or view articles at </w:t>
      </w:r>
      <w:hyperlink r:id="rId82">
        <w:r>
          <w:rPr>
            <w:rStyle w:val="InternetLink"/>
            <w:rFonts w:cs="Arial" w:ascii="Arial" w:hAnsi="Arial"/>
            <w:lang w:val="en-US" w:eastAsia="en-US" w:bidi="ar-SA"/>
          </w:rPr>
          <w:t>http://multibriefs.com/briefs/ACSORG/index.php</w:t>
        </w:r>
      </w:hyperlink>
      <w:r>
        <w:rPr/>
        <w:t xml:space="preserve"> </w:t>
      </w:r>
    </w:p>
    <w:p>
      <w:pPr>
        <w:pStyle w:val="NoSpacing"/>
        <w:bidi w:val="0"/>
        <w:ind w:left="0" w:right="0" w:hanging="0"/>
        <w:rPr>
          <w:rFonts w:cs="Times New Roman"/>
          <w:color w:val="0070C0"/>
        </w:rPr>
      </w:pPr>
      <w:r>
        <w:rPr>
          <w:rFonts w:cs="Times New Roman"/>
          <w:color w:val="0070C0"/>
        </w:rPr>
      </w:r>
    </w:p>
    <w:p>
      <w:pPr>
        <w:pStyle w:val="NoSpacing"/>
        <w:bidi w:val="0"/>
        <w:ind w:left="0" w:right="0" w:hanging="0"/>
        <w:rPr/>
      </w:pPr>
      <w:r>
        <w:rPr>
          <w:rFonts w:cs="Times New Roman"/>
          <w:color w:val="0070C0"/>
        </w:rPr>
        <w:tab/>
        <w:tab/>
      </w:r>
    </w:p>
    <w:p>
      <w:pPr>
        <w:pStyle w:val="Normal"/>
        <w:bidi w:val="0"/>
        <w:spacing w:lineRule="auto" w:line="276" w:before="0" w:after="200"/>
        <w:ind w:left="0" w:right="0" w:hanging="0"/>
        <w:rPr/>
      </w:pPr>
      <w:r>
        <w:rPr>
          <w:rFonts w:ascii="Cooper Black" w:hAnsi="Cooper Black"/>
          <w:sz w:val="28"/>
          <w:szCs w:val="28"/>
        </w:rPr>
        <w:t>Coding Tips:</w:t>
      </w:r>
    </w:p>
    <w:p>
      <w:pPr>
        <w:pStyle w:val="Normal"/>
        <w:bidi w:val="0"/>
        <w:spacing w:lineRule="auto" w:line="276" w:before="0" w:after="200"/>
        <w:ind w:left="0" w:right="0" w:hanging="0"/>
        <w:rPr>
          <w:rFonts w:ascii="Cooper Black" w:hAnsi="Cooper Black"/>
          <w:sz w:val="44"/>
          <w:szCs w:val="44"/>
        </w:rPr>
      </w:pPr>
      <w:r>
        <w:rPr/>
        <w:drawing>
          <wp:inline distT="0" distB="0" distL="0" distR="0">
            <wp:extent cx="6626860" cy="439039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83"/>
                    <a:stretch>
                      <a:fillRect/>
                    </a:stretch>
                  </pic:blipFill>
                  <pic:spPr bwMode="auto">
                    <a:xfrm>
                      <a:off x="0" y="0"/>
                      <a:ext cx="6626860" cy="4390390"/>
                    </a:xfrm>
                    <a:prstGeom prst="rect">
                      <a:avLst/>
                    </a:prstGeom>
                  </pic:spPr>
                </pic:pic>
              </a:graphicData>
            </a:graphic>
          </wp:inline>
        </w:drawing>
      </w:r>
    </w:p>
    <w:p>
      <w:pPr>
        <w:pStyle w:val="Normal"/>
        <w:bidi w:val="0"/>
        <w:spacing w:lineRule="auto" w:line="276" w:before="0" w:after="200"/>
        <w:ind w:left="0" w:right="0" w:hanging="0"/>
        <w:rPr>
          <w:rFonts w:ascii="Cooper Black" w:hAnsi="Cooper Black"/>
          <w:sz w:val="44"/>
          <w:szCs w:val="44"/>
        </w:rPr>
      </w:pPr>
      <w:r>
        <w:rPr>
          <w:rFonts w:ascii="Cooper Black" w:hAnsi="Cooper Black"/>
          <w:sz w:val="44"/>
          <w:szCs w:val="44"/>
        </w:rPr>
      </w:r>
    </w:p>
    <w:p>
      <w:pPr>
        <w:pStyle w:val="Normal"/>
        <w:pBdr>
          <w:bottom w:val="single" w:sz="4" w:space="1" w:color="000000"/>
        </w:pBdr>
        <w:bidi w:val="0"/>
        <w:ind w:left="0" w:right="0" w:firstLine="720"/>
        <w:rPr>
          <w:rStyle w:val="InternetLink"/>
          <w:rFonts w:ascii="Cooper Black" w:hAnsi="Cooper Black"/>
          <w:color w:val="2F5496"/>
          <w:sz w:val="32"/>
          <w:szCs w:val="32"/>
          <w:lang w:val="en-US" w:eastAsia="en-US" w:bidi="ar-SA"/>
        </w:rPr>
      </w:pPr>
      <w:r>
        <w:rPr/>
        <w:drawing>
          <wp:inline distT="0" distB="0" distL="0" distR="0">
            <wp:extent cx="1480820" cy="72771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4"/>
                    <a:stretch>
                      <a:fillRect/>
                    </a:stretch>
                  </pic:blipFill>
                  <pic:spPr bwMode="auto">
                    <a:xfrm>
                      <a:off x="0" y="0"/>
                      <a:ext cx="1480820" cy="727710"/>
                    </a:xfrm>
                    <a:prstGeom prst="rect">
                      <a:avLst/>
                    </a:prstGeom>
                  </pic:spPr>
                </pic:pic>
              </a:graphicData>
            </a:graphic>
          </wp:inline>
        </w:drawing>
      </w:r>
    </w:p>
    <w:p>
      <w:pPr>
        <w:pStyle w:val="Normal"/>
        <w:pBdr>
          <w:bottom w:val="single" w:sz="4" w:space="1" w:color="000000"/>
        </w:pBdr>
        <w:bidi w:val="0"/>
        <w:ind w:left="0" w:right="0" w:hanging="0"/>
        <w:rPr/>
      </w:pPr>
      <w:r>
        <w:rPr>
          <w:color w:val="538135"/>
          <w:sz w:val="32"/>
          <w:szCs w:val="32"/>
        </w:rPr>
        <w:tab/>
      </w:r>
    </w:p>
    <w:p>
      <w:pPr>
        <w:pStyle w:val="Normal"/>
        <w:pBdr>
          <w:bottom w:val="single" w:sz="4" w:space="1" w:color="000000"/>
        </w:pBdr>
        <w:bidi w:val="0"/>
        <w:ind w:left="0" w:right="0" w:hanging="0"/>
        <w:rPr>
          <w:rFonts w:ascii="Times New Roman" w:hAnsi="Times New Roman"/>
          <w:color w:val="2F5496"/>
        </w:rPr>
      </w:pPr>
      <w:r>
        <w:rPr>
          <w:color w:val="2F5496"/>
        </w:rPr>
      </w:r>
    </w:p>
    <w:p>
      <w:pPr>
        <w:pStyle w:val="Normal"/>
        <w:pBdr>
          <w:bottom w:val="single" w:sz="4" w:space="1" w:color="000000"/>
        </w:pBdr>
        <w:bidi w:val="0"/>
        <w:ind w:left="0" w:right="0" w:hanging="0"/>
        <w:rPr/>
      </w:pPr>
      <w:r>
        <w:rPr>
          <w:rFonts w:cs="Arial" w:ascii="Arial" w:hAnsi="Arial"/>
          <w:color w:val="0070C0"/>
        </w:rPr>
        <w:t>COVID-19 and Cancer: NCI's Sharpless Says COVID-19 Could Halt Streak of US Cancer Mortality Gains</w:t>
      </w:r>
    </w:p>
    <w:p>
      <w:pPr>
        <w:pStyle w:val="Normal"/>
        <w:pBdr>
          <w:bottom w:val="single" w:sz="4" w:space="1" w:color="000000"/>
        </w:pBdr>
        <w:bidi w:val="0"/>
        <w:ind w:left="0" w:right="0" w:hanging="0"/>
        <w:rPr/>
      </w:pPr>
      <w:hyperlink r:id="rId85">
        <w:r>
          <w:rPr>
            <w:rStyle w:val="InternetLink"/>
            <w:rFonts w:cs="Arial" w:ascii="Arial" w:hAnsi="Arial"/>
            <w:lang w:val="en-US" w:eastAsia="en-US" w:bidi="ar-SA"/>
          </w:rPr>
          <w:t>https://www.ajmc.com/journals/evidence-based-oncology/2020/july-2020/covid19-and-cancer-ncis-sharpless-says-covid-19-could-halt-streak-of-us-cancer-mortality-gains</w:t>
        </w:r>
      </w:hyperlink>
    </w:p>
    <w:p>
      <w:pPr>
        <w:pStyle w:val="Normal"/>
        <w:pBdr>
          <w:bottom w:val="single" w:sz="4" w:space="1" w:color="000000"/>
        </w:pBdr>
        <w:bidi w:val="0"/>
        <w:ind w:left="0" w:right="0" w:hanging="0"/>
        <w:rPr>
          <w:rFonts w:ascii="Arial" w:hAnsi="Arial" w:cs="Arial"/>
          <w:color w:val="0070C0"/>
        </w:rPr>
      </w:pPr>
      <w:r>
        <w:rPr>
          <w:rFonts w:cs="Arial" w:ascii="Arial" w:hAnsi="Arial"/>
          <w:color w:val="0070C0"/>
        </w:rPr>
      </w:r>
    </w:p>
    <w:p>
      <w:pPr>
        <w:pStyle w:val="Normal"/>
        <w:pBdr>
          <w:bottom w:val="single" w:sz="4" w:space="1" w:color="000000"/>
        </w:pBdr>
        <w:bidi w:val="0"/>
        <w:ind w:left="0" w:right="0" w:hanging="0"/>
        <w:rPr/>
      </w:pPr>
      <w:r>
        <w:rPr>
          <w:rFonts w:cs="Arial" w:ascii="Arial" w:hAnsi="Arial"/>
          <w:color w:val="0070C0"/>
        </w:rPr>
        <w:t>Patients with Multiple Myeloma Who Join MMRF's CureCloud May Improve Their Treatment Options While Contributing to Research</w:t>
      </w:r>
    </w:p>
    <w:p>
      <w:pPr>
        <w:pStyle w:val="Normal"/>
        <w:pBdr>
          <w:bottom w:val="single" w:sz="4" w:space="1" w:color="000000"/>
        </w:pBdr>
        <w:bidi w:val="0"/>
        <w:ind w:left="0" w:right="0" w:hanging="0"/>
        <w:rPr/>
      </w:pPr>
      <w:hyperlink r:id="rId86">
        <w:r>
          <w:rPr>
            <w:rStyle w:val="InternetLink"/>
            <w:rFonts w:cs="Arial" w:ascii="Arial" w:hAnsi="Arial"/>
            <w:spacing w:val="-3"/>
            <w:lang w:val="en" w:eastAsia="en-US" w:bidi="ar-SA"/>
          </w:rPr>
          <w:t>https://www.curetoday.com/articles/patients-with-multiple-myeloma-who-join-mmrfs-curecloud-may-improve-their-treatment-options-while-contributing-to-research</w:t>
        </w:r>
      </w:hyperlink>
    </w:p>
    <w:p>
      <w:pPr>
        <w:pStyle w:val="Normal"/>
        <w:pBdr>
          <w:bottom w:val="single" w:sz="4" w:space="1" w:color="000000"/>
        </w:pBdr>
        <w:bidi w:val="0"/>
        <w:ind w:left="0" w:right="0" w:hanging="0"/>
        <w:rPr>
          <w:rFonts w:ascii="Arial" w:hAnsi="Arial" w:cs="Arial"/>
          <w:color w:val="0070C0"/>
        </w:rPr>
      </w:pPr>
      <w:r>
        <w:rPr>
          <w:rFonts w:cs="Arial" w:ascii="Arial" w:hAnsi="Arial"/>
          <w:color w:val="0070C0"/>
        </w:rPr>
      </w:r>
    </w:p>
    <w:p>
      <w:pPr>
        <w:pStyle w:val="Normal"/>
        <w:pBdr>
          <w:bottom w:val="single" w:sz="4" w:space="1" w:color="000000"/>
        </w:pBdr>
        <w:bidi w:val="0"/>
        <w:ind w:left="0" w:right="0" w:hanging="0"/>
        <w:rPr>
          <w:lang w:val="en"/>
        </w:rPr>
      </w:pPr>
      <w:r>
        <w:rPr>
          <w:rFonts w:cs="Arial" w:ascii="Arial" w:hAnsi="Arial"/>
          <w:color w:val="0070C0"/>
          <w:lang w:val="en"/>
        </w:rPr>
        <w:t>Resources available for cancer caregivers in Colorado</w:t>
      </w:r>
    </w:p>
    <w:p>
      <w:pPr>
        <w:pStyle w:val="Normal"/>
        <w:pBdr>
          <w:bottom w:val="single" w:sz="4" w:space="1" w:color="000000"/>
        </w:pBdr>
        <w:bidi w:val="0"/>
        <w:ind w:left="0" w:right="0" w:hanging="0"/>
        <w:rPr/>
      </w:pPr>
      <w:hyperlink r:id="rId87">
        <w:r>
          <w:rPr>
            <w:rStyle w:val="InternetLink"/>
            <w:rFonts w:cs="Arial" w:ascii="Arial" w:hAnsi="Arial"/>
            <w:lang w:val="en-US" w:eastAsia="en-US" w:bidi="ar-SA"/>
          </w:rPr>
          <w:t>https://www.thedenverchannel.com/lifestyle/health/resources-available-for-cancer-caregivers-in-colorado</w:t>
        </w:r>
      </w:hyperlink>
    </w:p>
    <w:p>
      <w:pPr>
        <w:pStyle w:val="Normal"/>
        <w:pBdr>
          <w:bottom w:val="single" w:sz="4" w:space="1" w:color="000000"/>
        </w:pBdr>
        <w:bidi w:val="0"/>
        <w:ind w:left="0" w:right="0" w:hanging="0"/>
        <w:rPr>
          <w:rFonts w:ascii="Times New Roman" w:hAnsi="Times New Roman"/>
          <w:color w:val="0070C0"/>
          <w:sz w:val="36"/>
          <w:szCs w:val="36"/>
        </w:rPr>
      </w:pPr>
      <w:r>
        <w:rPr>
          <w:color w:val="0070C0"/>
          <w:sz w:val="36"/>
          <w:szCs w:val="36"/>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pPr>
      <w:r>
        <w:rPr>
          <w:rFonts w:eastAsia="Calibri" w:cs="Arial" w:ascii="Arial" w:hAnsi="Arial"/>
          <w:b/>
        </w:rPr>
        <w:t>REPORT FROM THE NC CENTRAL CANCER REGISTRY</w:t>
      </w:r>
    </w:p>
    <w:p>
      <w:pPr>
        <w:pStyle w:val="Normal"/>
        <w:bidi w:val="0"/>
        <w:ind w:left="0" w:right="0" w:hanging="0"/>
        <w:rPr/>
      </w:pPr>
      <w:r>
        <w:rPr>
          <w:rFonts w:eastAsia="Calibri" w:cs="Arial" w:ascii="Arial" w:hAnsi="Arial"/>
          <w:b/>
        </w:rPr>
        <w:t>Melissa Pearson, CTR</w:t>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pPr>
      <w:bookmarkStart w:id="0" w:name="_Hlk38292935"/>
      <w:bookmarkEnd w:id="0"/>
      <w:r>
        <w:rPr>
          <w:rFonts w:eastAsia="Calibri" w:cs="Arial" w:ascii="Arial" w:hAnsi="Arial"/>
          <w:b/>
          <w:sz w:val="20"/>
          <w:szCs w:val="20"/>
        </w:rPr>
        <w:t xml:space="preserve">Staffing Updates: </w:t>
      </w:r>
    </w:p>
    <w:p>
      <w:pPr>
        <w:pStyle w:val="ListParagraph"/>
        <w:numPr>
          <w:ilvl w:val="0"/>
          <w:numId w:val="6"/>
        </w:numPr>
        <w:bidi w:val="0"/>
        <w:ind w:left="360" w:right="0" w:hanging="360"/>
        <w:rPr/>
      </w:pPr>
      <w:r>
        <w:rPr>
          <w:rFonts w:cs="Arial" w:ascii="Arial" w:hAnsi="Arial"/>
          <w:sz w:val="20"/>
          <w:szCs w:val="20"/>
        </w:rPr>
        <w:t xml:space="preserve">Cheryl Biagiarelli, CTR </w:t>
      </w:r>
      <w:r>
        <w:rPr>
          <w:rFonts w:eastAsia="Calibri" w:cs="Arial" w:ascii="Arial" w:hAnsi="Arial"/>
          <w:bCs/>
          <w:sz w:val="20"/>
          <w:szCs w:val="20"/>
        </w:rPr>
        <w:t>joined the CCR in July as a Quality Management Specialist.</w:t>
      </w:r>
    </w:p>
    <w:p>
      <w:pPr>
        <w:pStyle w:val="ListParagraph"/>
        <w:numPr>
          <w:ilvl w:val="0"/>
          <w:numId w:val="6"/>
        </w:numPr>
        <w:bidi w:val="0"/>
        <w:ind w:left="360" w:right="0" w:hanging="360"/>
        <w:rPr/>
      </w:pPr>
      <w:r>
        <w:rPr>
          <w:rFonts w:cs="Arial" w:ascii="Arial" w:hAnsi="Arial"/>
          <w:sz w:val="20"/>
          <w:szCs w:val="20"/>
        </w:rPr>
        <w:t>ClarLynda Williams-DeVane, PhD was appointed as the new Director of the State Center for Health Statistics.</w:t>
      </w:r>
    </w:p>
    <w:p>
      <w:pPr>
        <w:pStyle w:val="Normal"/>
        <w:bidi w:val="0"/>
        <w:ind w:left="0" w:right="0" w:hanging="0"/>
        <w:rPr>
          <w:rFonts w:ascii="Arial" w:hAnsi="Arial" w:eastAsia="Calibri" w:cs="Arial"/>
          <w:bCs/>
          <w:sz w:val="20"/>
          <w:szCs w:val="20"/>
        </w:rPr>
      </w:pPr>
      <w:r>
        <w:rPr>
          <w:rFonts w:eastAsia="Calibri" w:cs="Arial" w:ascii="Arial" w:hAnsi="Arial"/>
          <w:bCs/>
          <w:sz w:val="20"/>
          <w:szCs w:val="20"/>
        </w:rPr>
      </w:r>
    </w:p>
    <w:p>
      <w:pPr>
        <w:pStyle w:val="Normal"/>
        <w:bidi w:val="0"/>
        <w:ind w:left="0" w:right="0" w:hanging="0"/>
        <w:jc w:val="center"/>
        <w:rPr>
          <w:rFonts w:ascii="Calibri" w:hAnsi="Calibri"/>
        </w:rPr>
      </w:pPr>
      <w:r>
        <w:rPr/>
        <w:drawing>
          <wp:inline distT="0" distB="0" distL="0" distR="0">
            <wp:extent cx="2234565" cy="148145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88"/>
                    <a:stretch>
                      <a:fillRect/>
                    </a:stretch>
                  </pic:blipFill>
                  <pic:spPr bwMode="auto">
                    <a:xfrm>
                      <a:off x="0" y="0"/>
                      <a:ext cx="2234565" cy="1481455"/>
                    </a:xfrm>
                    <a:prstGeom prst="rect">
                      <a:avLst/>
                    </a:prstGeom>
                  </pic:spPr>
                </pic:pic>
              </a:graphicData>
            </a:graphic>
          </wp:inline>
        </w:drawing>
      </w:r>
    </w:p>
    <w:p>
      <w:pPr>
        <w:pStyle w:val="Normal"/>
        <w:bidi w:val="0"/>
        <w:ind w:left="0" w:right="0" w:hanging="0"/>
        <w:rPr>
          <w:rFonts w:ascii="Calibri" w:hAnsi="Calibri"/>
        </w:rPr>
      </w:pPr>
      <w:r>
        <w:rPr>
          <w:rFonts w:ascii="Calibri" w:hAnsi="Calibri"/>
        </w:rPr>
      </w:r>
    </w:p>
    <w:p>
      <w:pPr>
        <w:pStyle w:val="Normal"/>
        <w:bidi w:val="0"/>
        <w:ind w:left="0" w:right="0" w:hanging="0"/>
        <w:rPr/>
      </w:pPr>
      <w:r>
        <w:rPr>
          <w:rFonts w:cs="Arial" w:ascii="Arial" w:hAnsi="Arial"/>
          <w:sz w:val="20"/>
          <w:szCs w:val="20"/>
        </w:rPr>
        <w:t>It is not surprising that the cancer surveillance community has become very focused on COVID-19 and the effects on cancer patients. Specifically, treatment decisions and outcomes. Here are a few broad points that cancer care teams are evaluating and we, as cancer registrars, should also be mindful of when reviewing cancer cases:</w:t>
      </w:r>
    </w:p>
    <w:p>
      <w:pPr>
        <w:pStyle w:val="Normal"/>
        <w:bidi w:val="0"/>
        <w:ind w:left="0" w:right="0" w:hanging="0"/>
        <w:rPr>
          <w:rFonts w:ascii="Arial" w:hAnsi="Arial" w:cs="Arial"/>
          <w:sz w:val="20"/>
          <w:szCs w:val="20"/>
        </w:rPr>
      </w:pPr>
      <w:r>
        <w:rPr>
          <w:rFonts w:cs="Arial" w:ascii="Arial" w:hAnsi="Arial"/>
          <w:sz w:val="20"/>
          <w:szCs w:val="20"/>
        </w:rPr>
      </w:r>
    </w:p>
    <w:p>
      <w:pPr>
        <w:pStyle w:val="ListParagraph"/>
        <w:numPr>
          <w:ilvl w:val="0"/>
          <w:numId w:val="7"/>
        </w:numPr>
        <w:bidi w:val="0"/>
        <w:ind w:left="360" w:right="0" w:hanging="360"/>
        <w:rPr/>
      </w:pPr>
      <w:r>
        <w:rPr>
          <w:rFonts w:cs="Arial" w:ascii="Arial" w:hAnsi="Arial"/>
          <w:sz w:val="20"/>
          <w:szCs w:val="20"/>
        </w:rPr>
        <w:t>Visits and labs being done at remote centers and telemedicine if possible (Think casefinding. This may affect visit types and how you would normally identify the patient. This may also affect your overall case counts.)</w:t>
      </w:r>
    </w:p>
    <w:p>
      <w:pPr>
        <w:pStyle w:val="ListParagraph"/>
        <w:numPr>
          <w:ilvl w:val="0"/>
          <w:numId w:val="7"/>
        </w:numPr>
        <w:bidi w:val="0"/>
        <w:ind w:left="360" w:right="0" w:hanging="360"/>
        <w:rPr/>
      </w:pPr>
      <w:r>
        <w:rPr>
          <w:rFonts w:cs="Arial" w:ascii="Arial" w:hAnsi="Arial"/>
          <w:sz w:val="20"/>
          <w:szCs w:val="20"/>
        </w:rPr>
        <w:t xml:space="preserve">Postponement of surgery or adjuvant treatment for both stable and high-risk patients. </w:t>
      </w:r>
    </w:p>
    <w:p>
      <w:pPr>
        <w:pStyle w:val="ListParagraph"/>
        <w:numPr>
          <w:ilvl w:val="0"/>
          <w:numId w:val="7"/>
        </w:numPr>
        <w:bidi w:val="0"/>
        <w:ind w:left="360" w:right="0" w:hanging="360"/>
        <w:rPr/>
      </w:pPr>
      <w:r>
        <w:rPr>
          <w:rFonts w:cs="Arial" w:ascii="Arial" w:hAnsi="Arial"/>
          <w:sz w:val="20"/>
          <w:szCs w:val="20"/>
        </w:rPr>
        <w:t>Prioritization and rationalization of surgeries based on urgency, symptoms, and possibly cure.</w:t>
      </w:r>
    </w:p>
    <w:p>
      <w:pPr>
        <w:pStyle w:val="ListParagraph"/>
        <w:numPr>
          <w:ilvl w:val="0"/>
          <w:numId w:val="7"/>
        </w:numPr>
        <w:bidi w:val="0"/>
        <w:ind w:left="360" w:right="0" w:hanging="360"/>
        <w:rPr/>
      </w:pPr>
      <w:r>
        <w:rPr>
          <w:rFonts w:cs="Arial" w:ascii="Arial" w:hAnsi="Arial"/>
          <w:sz w:val="20"/>
          <w:szCs w:val="20"/>
        </w:rPr>
        <w:t xml:space="preserve">New treatment start date decisions made by considering tumor burden and the clinical condition of the patient. </w:t>
      </w:r>
    </w:p>
    <w:p>
      <w:pPr>
        <w:pStyle w:val="ListParagraph"/>
        <w:numPr>
          <w:ilvl w:val="0"/>
          <w:numId w:val="7"/>
        </w:numPr>
        <w:bidi w:val="0"/>
        <w:ind w:left="360" w:right="0" w:hanging="360"/>
        <w:rPr/>
      </w:pPr>
      <w:r>
        <w:rPr>
          <w:rFonts w:cs="Arial" w:ascii="Arial" w:hAnsi="Arial"/>
          <w:sz w:val="20"/>
          <w:szCs w:val="20"/>
        </w:rPr>
        <w:t>For patients with low tumor burden, stable disease, or undergoing post-operative chemo or maintenance, consideration for delaying treatment or switching to oral options where available.</w:t>
      </w:r>
    </w:p>
    <w:p>
      <w:pPr>
        <w:pStyle w:val="ListParagraph"/>
        <w:numPr>
          <w:ilvl w:val="0"/>
          <w:numId w:val="7"/>
        </w:numPr>
        <w:bidi w:val="0"/>
        <w:ind w:left="360" w:right="0" w:hanging="360"/>
        <w:rPr/>
      </w:pPr>
      <w:r>
        <w:rPr>
          <w:rFonts w:cs="Arial" w:ascii="Arial" w:hAnsi="Arial"/>
          <w:sz w:val="20"/>
          <w:szCs w:val="20"/>
        </w:rPr>
        <w:t>Prioritization of systemic treatment to those who will have most benefit (i.e. curative). Thereby, affecting decisions related to palliative care and treatment.</w:t>
      </w:r>
    </w:p>
    <w:p>
      <w:pPr>
        <w:pStyle w:val="ListParagraph"/>
        <w:numPr>
          <w:ilvl w:val="0"/>
          <w:numId w:val="7"/>
        </w:numPr>
        <w:bidi w:val="0"/>
        <w:ind w:left="360" w:right="0" w:hanging="360"/>
        <w:rPr/>
      </w:pPr>
      <w:r>
        <w:rPr>
          <w:rFonts w:cs="Arial" w:ascii="Arial" w:hAnsi="Arial"/>
          <w:sz w:val="20"/>
          <w:szCs w:val="20"/>
        </w:rPr>
        <w:t xml:space="preserve">Consideration of target therapy as adjuvant therapy to avoid side effects of chemo, repeated hospital visits, and immunosuppression. </w:t>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T</w:t>
      </w:r>
      <w:r>
        <w:rPr>
          <w:rFonts w:cs="Arial" w:ascii="Arial" w:hAnsi="Arial"/>
          <w:sz w:val="20"/>
          <w:szCs w:val="20"/>
        </w:rPr>
        <w:t>hese are only a few examples but hopefully give you an idea of what to be looking for. While software vendors and our national standard setters are working hard to figure out the best way to capture this information, we have to do the best we can with what we have. And right now, that is…</w:t>
      </w:r>
      <w:r>
        <mc:AlternateContent>
          <mc:Choice Requires="wps">
            <w:drawing>
              <wp:anchor behindDoc="0" distT="0" distB="0" distL="0" distR="0" simplePos="0" locked="0" layoutInCell="1" allowOverlap="1" relativeHeight="2">
                <wp:simplePos x="0" y="0"/>
                <wp:positionH relativeFrom="column">
                  <wp:posOffset>2232025</wp:posOffset>
                </wp:positionH>
                <wp:positionV relativeFrom="paragraph">
                  <wp:posOffset>371475</wp:posOffset>
                </wp:positionV>
                <wp:extent cx="1478915" cy="617220"/>
                <wp:effectExtent l="0" t="0" r="0" b="0"/>
                <wp:wrapNone/>
                <wp:docPr id="6" name="Text Box 1"/>
                <a:graphic xmlns:a="http://schemas.openxmlformats.org/drawingml/2006/main">
                  <a:graphicData uri="http://schemas.microsoft.com/office/word/2010/wordprocessingShape">
                    <wps:wsp>
                      <wps:cNvSpPr txBox="1"/>
                      <wps:spPr>
                        <a:xfrm>
                          <a:off x="0" y="0"/>
                          <a:ext cx="1478915" cy="617220"/>
                        </a:xfrm>
                        <a:prstGeom prst="rect"/>
                        <a:solidFill>
                          <a:srgbClr val="FFFFFF">
                            <a:alpha val="0"/>
                          </a:srgbClr>
                        </a:solidFill>
                      </wps:spPr>
                      <wps:txbx>
                        <w:txbxContent>
                          <w:p>
                            <w:pPr>
                              <w:pStyle w:val="Normal"/>
                              <w:bidi w:val="0"/>
                              <w:ind w:left="0" w:right="0" w:hanging="0"/>
                              <w:jc w:val="center"/>
                              <w:rPr/>
                            </w:pPr>
                            <w:r>
                              <w:rPr>
                                <w:rFonts w:cs="Arial" w:ascii="Arial" w:hAnsi="Arial"/>
                                <w:sz w:val="72"/>
                                <w:szCs w:val="72"/>
                              </w:rPr>
                              <w:t>TEXT!</w:t>
                            </w:r>
                          </w:p>
                        </w:txbxContent>
                      </wps:txbx>
                      <wps:bodyPr anchor="t" lIns="91440" tIns="45720" rIns="91440" bIns="45720">
                        <a:noAutofit/>
                      </wps:bodyPr>
                    </wps:wsp>
                  </a:graphicData>
                </a:graphic>
              </wp:anchor>
            </w:drawing>
          </mc:Choice>
          <mc:Fallback>
            <w:pict>
              <v:rect fillcolor="#FFFFFF" stroked="f" strokeweight="0pt" style="position:absolute;rotation:0;width:116.45pt;height:48.6pt;mso-wrap-distance-left:5.7pt;mso-wrap-distance-right:5.7pt;mso-wrap-distance-top:5.7pt;mso-wrap-distance-bottom:5.7pt;margin-top:29.25pt;mso-position-vertical-relative:text;margin-left:175.75pt;mso-position-horizontal-relative:text">
                <v:fill opacity="0f"/>
                <v:textbox>
                  <w:txbxContent>
                    <w:p>
                      <w:pPr>
                        <w:pStyle w:val="Normal"/>
                        <w:bidi w:val="0"/>
                        <w:ind w:left="0" w:right="0" w:hanging="0"/>
                        <w:jc w:val="center"/>
                        <w:rPr/>
                      </w:pPr>
                      <w:r>
                        <w:rPr>
                          <w:rFonts w:cs="Arial" w:ascii="Arial" w:hAnsi="Arial"/>
                          <w:sz w:val="72"/>
                          <w:szCs w:val="72"/>
                        </w:rPr>
                        <w:t>TEXT!</w:t>
                      </w:r>
                    </w:p>
                  </w:txbxContent>
                </v:textbox>
              </v:rect>
            </w:pict>
          </mc:Fallback>
        </mc:AlternateContent>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 xml:space="preserve"> </w:t>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 xml:space="preserve">The new COVID-related ICD-10 codes do not fall into the eligible range that would allow them to be coded in the Comorbidity/Secondary Diagnosis data items. The NAACCR Uniform Data Standards (UDS) Committee is currently discussing options on what information should be collected but no final decisions have been made. In short, we don’t know what we need to know at this point and careful consideration needs to be given before revising data items and edits as any changes would be cumbersome to implement. </w:t>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 xml:space="preserve">In the meantime, consider developing user-defined data fields to capture COVID-related information. This is a great option for any </w:t>
      </w:r>
      <w:r>
        <w:rPr>
          <w:rFonts w:cs="Arial" w:ascii="Arial" w:hAnsi="Arial"/>
          <w:sz w:val="20"/>
          <w:szCs w:val="20"/>
          <w:u w:val="single"/>
        </w:rPr>
        <w:t>internal</w:t>
      </w:r>
      <w:r>
        <w:rPr>
          <w:rFonts w:cs="Arial" w:ascii="Arial" w:hAnsi="Arial"/>
          <w:sz w:val="20"/>
          <w:szCs w:val="20"/>
        </w:rPr>
        <w:t xml:space="preserve"> analysis your cancer program may want to do. Keep in mind… user-defined fields are NOT TRANSMITTED TO THE CCR. This is for your internal use only but can be very helpful if the CCR needs to follow-back to the facility for any reason. Options for data fields include:</w:t>
      </w:r>
    </w:p>
    <w:p>
      <w:pPr>
        <w:pStyle w:val="ListParagraph"/>
        <w:numPr>
          <w:ilvl w:val="0"/>
          <w:numId w:val="5"/>
        </w:numPr>
        <w:bidi w:val="0"/>
        <w:ind w:left="360" w:right="0" w:hanging="360"/>
        <w:rPr/>
      </w:pPr>
      <w:r>
        <w:rPr>
          <w:rFonts w:cs="Arial" w:ascii="Arial" w:hAnsi="Arial"/>
          <w:sz w:val="20"/>
          <w:szCs w:val="20"/>
        </w:rPr>
        <w:t>COVID-related ICD-10 codes</w:t>
      </w:r>
    </w:p>
    <w:p>
      <w:pPr>
        <w:pStyle w:val="ListParagraph"/>
        <w:numPr>
          <w:ilvl w:val="0"/>
          <w:numId w:val="5"/>
        </w:numPr>
        <w:bidi w:val="0"/>
        <w:ind w:left="360" w:right="0" w:hanging="360"/>
        <w:rPr/>
      </w:pPr>
      <w:r>
        <w:rPr>
          <w:rFonts w:cs="Arial" w:ascii="Arial" w:hAnsi="Arial"/>
          <w:sz w:val="20"/>
          <w:szCs w:val="20"/>
        </w:rPr>
        <w:t>Specify a COVID-related death</w:t>
      </w:r>
    </w:p>
    <w:p>
      <w:pPr>
        <w:pStyle w:val="ListParagraph"/>
        <w:numPr>
          <w:ilvl w:val="0"/>
          <w:numId w:val="5"/>
        </w:numPr>
        <w:bidi w:val="0"/>
        <w:ind w:left="360" w:right="0" w:hanging="360"/>
        <w:rPr/>
      </w:pPr>
      <w:r>
        <w:rPr>
          <w:rFonts w:cs="Arial" w:ascii="Arial" w:hAnsi="Arial"/>
          <w:sz w:val="20"/>
          <w:szCs w:val="20"/>
        </w:rPr>
        <w:t>Specify if treatment was delayed, modified, or not given at all due to COVID</w:t>
      </w:r>
    </w:p>
    <w:p>
      <w:pPr>
        <w:pStyle w:val="ListParagraph"/>
        <w:numPr>
          <w:ilvl w:val="0"/>
          <w:numId w:val="5"/>
        </w:numPr>
        <w:bidi w:val="0"/>
        <w:ind w:left="360" w:right="0" w:hanging="360"/>
        <w:rPr/>
      </w:pPr>
      <w:r>
        <w:rPr>
          <w:rFonts w:cs="Arial" w:ascii="Arial" w:hAnsi="Arial"/>
          <w:sz w:val="20"/>
          <w:szCs w:val="20"/>
        </w:rPr>
        <w:t>I’m sure there may be others you will find beneficial as you start to encounter these cases.</w:t>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jc w:val="center"/>
        <w:rPr/>
      </w:pPr>
      <w:r>
        <w:rPr>
          <w:rFonts w:cs="Arial" w:ascii="Arial" w:hAnsi="Arial"/>
          <w:b/>
          <w:bCs/>
          <w:color w:val="FF0000"/>
        </w:rPr>
        <w:t>Make sure any text related to COVID-19 specifically includes the word “COVID-19”!</w:t>
      </w:r>
    </w:p>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 xml:space="preserve">Instead, the CCR is relying on </w:t>
      </w:r>
      <w:r>
        <w:rPr>
          <w:rFonts w:cs="Arial" w:ascii="Arial" w:hAnsi="Arial"/>
          <w:b/>
          <w:bCs/>
          <w:color w:val="FF0000"/>
          <w:sz w:val="20"/>
          <w:szCs w:val="20"/>
        </w:rPr>
        <w:t>TEXT!</w:t>
      </w:r>
      <w:r>
        <w:rPr>
          <w:rFonts w:cs="Arial" w:ascii="Arial" w:hAnsi="Arial"/>
          <w:sz w:val="20"/>
          <w:szCs w:val="20"/>
        </w:rPr>
        <w:t xml:space="preserve"> The standard use of the word “COVID-19” in the text will allow us to identify and isolate these cases for further evaluation. Below is the CCR’s guidance on how to standardize this documentation in the text. </w:t>
      </w:r>
    </w:p>
    <w:p>
      <w:pPr>
        <w:pStyle w:val="Normal"/>
        <w:bidi w:val="0"/>
        <w:ind w:left="0" w:right="0" w:hanging="0"/>
        <w:rPr>
          <w:rFonts w:ascii="Arial" w:hAnsi="Arial" w:cs="Arial"/>
          <w:sz w:val="20"/>
          <w:szCs w:val="20"/>
        </w:rPr>
      </w:pPr>
      <w:r>
        <w:rPr>
          <w:rFonts w:cs="Arial" w:ascii="Arial" w:hAnsi="Arial"/>
          <w:sz w:val="20"/>
          <w:szCs w:val="20"/>
        </w:rPr>
      </w:r>
    </w:p>
    <w:tbl>
      <w:tblPr>
        <w:tblW w:w="9450" w:type="dxa"/>
        <w:jc w:val="left"/>
        <w:tblInd w:w="-113" w:type="dxa"/>
        <w:tblCellMar>
          <w:top w:w="0" w:type="dxa"/>
          <w:left w:w="108" w:type="dxa"/>
          <w:bottom w:w="0" w:type="dxa"/>
          <w:right w:w="108" w:type="dxa"/>
        </w:tblCellMar>
      </w:tblPr>
      <w:tblGrid>
        <w:gridCol w:w="1704"/>
        <w:gridCol w:w="7745"/>
      </w:tblGrid>
      <w:tr>
        <w:trPr/>
        <w:tc>
          <w:tcPr>
            <w:tcW w:w="1704"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Lab Text</w:t>
            </w:r>
          </w:p>
        </w:tc>
        <w:tc>
          <w:tcPr>
            <w:tcW w:w="7745" w:type="dxa"/>
            <w:tcBorders>
              <w:top w:val="single" w:sz="4" w:space="0" w:color="000000"/>
              <w:left w:val="single" w:sz="4" w:space="0" w:color="000000"/>
              <w:bottom w:val="single" w:sz="4" w:space="0" w:color="000000"/>
              <w:right w:val="single" w:sz="4" w:space="0" w:color="000000"/>
            </w:tcBorders>
          </w:tcPr>
          <w:p>
            <w:pPr>
              <w:pStyle w:val="Normal"/>
              <w:tabs>
                <w:tab w:val="clear" w:pos="720"/>
              </w:tabs>
              <w:bidi w:val="0"/>
              <w:ind w:left="0" w:right="0" w:hanging="0"/>
              <w:rPr/>
            </w:pPr>
            <w:r>
              <w:rPr>
                <w:rFonts w:eastAsia="Calibri" w:cs="Arial" w:ascii="Arial" w:hAnsi="Arial"/>
                <w:sz w:val="20"/>
                <w:szCs w:val="20"/>
              </w:rPr>
              <w:t>Date and results of COVID-19 and antibody testing (both positive and negative)</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Treatment Text</w:t>
            </w:r>
          </w:p>
        </w:tc>
        <w:tc>
          <w:tcPr>
            <w:tcW w:w="774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If treatment is delayed, modified or not given due to COVID-19, add that detail to the corresponding treatment text field</w:t>
            </w:r>
          </w:p>
        </w:tc>
      </w:tr>
      <w:tr>
        <w:trPr/>
        <w:tc>
          <w:tcPr>
            <w:tcW w:w="1704"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Remarks Text</w:t>
            </w:r>
          </w:p>
        </w:tc>
        <w:tc>
          <w:tcPr>
            <w:tcW w:w="7745" w:type="dxa"/>
            <w:tcBorders>
              <w:top w:val="single" w:sz="4" w:space="0" w:color="000000"/>
              <w:left w:val="single" w:sz="4" w:space="0" w:color="000000"/>
              <w:bottom w:val="single" w:sz="4" w:space="0" w:color="000000"/>
              <w:right w:val="single" w:sz="4" w:space="0" w:color="000000"/>
            </w:tcBorders>
          </w:tcPr>
          <w:p>
            <w:pPr>
              <w:pStyle w:val="Normal"/>
              <w:bidi w:val="0"/>
              <w:ind w:left="0" w:right="0" w:hanging="0"/>
              <w:rPr/>
            </w:pPr>
            <w:r>
              <w:rPr>
                <w:rFonts w:eastAsia="Calibri" w:cs="Arial" w:ascii="Arial" w:hAnsi="Arial"/>
                <w:sz w:val="20"/>
                <w:szCs w:val="20"/>
              </w:rPr>
              <w:t>Record COVID-19 related ICD-10 codes specified in the medical record</w:t>
            </w:r>
          </w:p>
        </w:tc>
      </w:tr>
    </w:tbl>
    <w:p>
      <w:pPr>
        <w:pStyle w:val="Normal"/>
        <w:bidi w:val="0"/>
        <w:ind w:left="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FAQ’s:</w:t>
      </w:r>
    </w:p>
    <w:p>
      <w:pPr>
        <w:pStyle w:val="ListParagraph"/>
        <w:numPr>
          <w:ilvl w:val="0"/>
          <w:numId w:val="8"/>
        </w:numPr>
        <w:bidi w:val="0"/>
        <w:ind w:left="360" w:right="0" w:hanging="360"/>
        <w:rPr/>
      </w:pPr>
      <w:r>
        <w:rPr>
          <w:rFonts w:cs="Arial" w:ascii="Arial" w:hAnsi="Arial"/>
          <w:sz w:val="20"/>
          <w:szCs w:val="20"/>
        </w:rPr>
        <w:t>What if the patient tests positive for COVID after the case has been submitted to the CCR?</w:t>
      </w:r>
    </w:p>
    <w:p>
      <w:pPr>
        <w:pStyle w:val="Normal"/>
        <w:bidi w:val="0"/>
        <w:ind w:left="360" w:right="0" w:hanging="0"/>
        <w:rPr/>
      </w:pPr>
      <w:r>
        <w:rPr>
          <w:rFonts w:cs="Arial" w:ascii="Arial" w:hAnsi="Arial"/>
          <w:sz w:val="20"/>
          <w:szCs w:val="20"/>
        </w:rPr>
        <w:t>Answer: For now, just add the information to the text using the above guidelines. Modifying text only will not prompt a corrections record so that update will not be sent to the CCR. We are still trying to figure out some of these finer details. Stay tuned for more instructions!</w:t>
      </w:r>
    </w:p>
    <w:p>
      <w:pPr>
        <w:pStyle w:val="Normal"/>
        <w:bidi w:val="0"/>
        <w:ind w:left="0" w:right="0" w:hanging="0"/>
        <w:rPr>
          <w:rFonts w:ascii="Arial" w:hAnsi="Arial" w:cs="Arial"/>
          <w:sz w:val="20"/>
          <w:szCs w:val="20"/>
        </w:rPr>
      </w:pPr>
      <w:r>
        <w:rPr>
          <w:rFonts w:cs="Arial" w:ascii="Arial" w:hAnsi="Arial"/>
          <w:sz w:val="20"/>
          <w:szCs w:val="20"/>
        </w:rPr>
      </w:r>
    </w:p>
    <w:p>
      <w:pPr>
        <w:pStyle w:val="ListParagraph"/>
        <w:numPr>
          <w:ilvl w:val="0"/>
          <w:numId w:val="8"/>
        </w:numPr>
        <w:bidi w:val="0"/>
        <w:ind w:left="360" w:right="0" w:hanging="360"/>
        <w:rPr/>
      </w:pPr>
      <w:r>
        <w:rPr>
          <w:rFonts w:cs="Arial" w:ascii="Arial" w:hAnsi="Arial"/>
          <w:sz w:val="20"/>
          <w:szCs w:val="20"/>
        </w:rPr>
        <w:t>If treatment is delayed, when do I submit the case to the CCR?</w:t>
      </w:r>
    </w:p>
    <w:p>
      <w:pPr>
        <w:pStyle w:val="ListParagraph"/>
        <w:bidi w:val="0"/>
        <w:ind w:left="360" w:right="0" w:hanging="0"/>
        <w:rPr/>
      </w:pPr>
      <w:r>
        <w:rPr>
          <w:rFonts w:cs="Arial" w:ascii="Arial" w:hAnsi="Arial"/>
          <w:sz w:val="20"/>
          <w:szCs w:val="20"/>
        </w:rPr>
        <w:t>Answer: Please wait until ALL first course of treatment data items can be coded before submitting the case to the CCR. Keep in mind, the treatment does not need to be completed. Only the start date and type of treatment needs to be known to complete the required data items in the abstract.</w:t>
      </w:r>
    </w:p>
    <w:p>
      <w:pPr>
        <w:pStyle w:val="ListParagraph"/>
        <w:bidi w:val="0"/>
        <w:ind w:left="720" w:right="0" w:hanging="0"/>
        <w:rPr>
          <w:rFonts w:ascii="Arial" w:hAnsi="Arial" w:cs="Arial"/>
          <w:sz w:val="20"/>
          <w:szCs w:val="20"/>
        </w:rPr>
      </w:pPr>
      <w:r>
        <w:rPr>
          <w:rFonts w:cs="Arial" w:ascii="Arial" w:hAnsi="Arial"/>
          <w:sz w:val="20"/>
          <w:szCs w:val="20"/>
        </w:rPr>
      </w:r>
    </w:p>
    <w:p>
      <w:pPr>
        <w:pStyle w:val="Normal"/>
        <w:bidi w:val="0"/>
        <w:ind w:left="0" w:right="0" w:hanging="0"/>
        <w:rPr/>
      </w:pPr>
      <w:r>
        <w:rPr>
          <w:rFonts w:cs="Arial" w:ascii="Arial" w:hAnsi="Arial"/>
          <w:sz w:val="20"/>
          <w:szCs w:val="20"/>
        </w:rPr>
        <w:t>If you have other ideas, please share! You are seeing these cases much sooner than we are and your feedback is very helpful to us!</w:t>
      </w:r>
    </w:p>
    <w:p>
      <w:pPr>
        <w:pStyle w:val="Normal"/>
        <w:bidi w:val="0"/>
        <w:ind w:left="0" w:right="0" w:hanging="0"/>
        <w:rPr>
          <w:rFonts w:ascii="Arial" w:hAnsi="Arial" w:eastAsia="Calibri" w:cs="Arial"/>
          <w:b/>
          <w:b/>
          <w:sz w:val="20"/>
          <w:szCs w:val="20"/>
        </w:rPr>
      </w:pPr>
      <w:r>
        <w:rPr>
          <w:rFonts w:eastAsia="Calibri" w:cs="Arial" w:ascii="Arial" w:hAnsi="Arial"/>
          <w:b/>
          <w:sz w:val="20"/>
          <w:szCs w:val="20"/>
        </w:rPr>
      </w:r>
      <w:bookmarkStart w:id="1" w:name="_Hlk38292935"/>
      <w:bookmarkStart w:id="2" w:name="_Hlk38292935"/>
      <w:bookmarkEnd w:id="2"/>
    </w:p>
    <w:p>
      <w:pPr>
        <w:pStyle w:val="Normal"/>
        <w:bidi w:val="0"/>
        <w:ind w:left="0" w:right="0" w:hanging="0"/>
        <w:rPr/>
      </w:pPr>
      <w:r>
        <w:drawing>
          <wp:anchor behindDoc="0" distT="0" distB="0" distL="114935" distR="114935" simplePos="0" locked="0" layoutInCell="1" allowOverlap="1" relativeHeight="8">
            <wp:simplePos x="0" y="0"/>
            <wp:positionH relativeFrom="column">
              <wp:posOffset>0</wp:posOffset>
            </wp:positionH>
            <wp:positionV relativeFrom="paragraph">
              <wp:posOffset>26670</wp:posOffset>
            </wp:positionV>
            <wp:extent cx="1517650" cy="1504950"/>
            <wp:effectExtent l="0" t="0" r="0" b="0"/>
            <wp:wrapTight wrapText="bothSides">
              <wp:wrapPolygon edited="0">
                <wp:start x="-230" y="-134"/>
                <wp:lineTo x="-230" y="21495"/>
                <wp:lineTo x="21727" y="21495"/>
                <wp:lineTo x="21727" y="-134"/>
                <wp:lineTo x="-230" y="-134"/>
              </wp:wrapPolygon>
            </wp:wrapTigh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9"/>
                    <a:stretch>
                      <a:fillRect/>
                    </a:stretch>
                  </pic:blipFill>
                  <pic:spPr bwMode="auto">
                    <a:xfrm>
                      <a:off x="0" y="0"/>
                      <a:ext cx="1517650" cy="1504950"/>
                    </a:xfrm>
                    <a:prstGeom prst="rect">
                      <a:avLst/>
                    </a:prstGeom>
                    <a:ln w="9525">
                      <a:solidFill>
                        <a:srgbClr val="002060"/>
                      </a:solidFill>
                    </a:ln>
                  </pic:spPr>
                </pic:pic>
              </a:graphicData>
            </a:graphic>
          </wp:anchor>
        </w:drawing>
      </w:r>
      <w:r>
        <w:rPr>
          <w:rFonts w:cs="Arial" w:ascii="Arial" w:hAnsi="Arial"/>
          <w:b/>
        </w:rPr>
        <w:t>R</w:t>
      </w:r>
      <w:r>
        <w:rPr>
          <w:rFonts w:cs="Arial" w:ascii="Arial" w:hAnsi="Arial"/>
          <w:b/>
        </w:rPr>
        <w:t>uth Maranda, LPN, CTR</w:t>
      </w:r>
    </w:p>
    <w:p>
      <w:pPr>
        <w:pStyle w:val="Normal"/>
        <w:bidi w:val="0"/>
        <w:ind w:left="0" w:right="0" w:hanging="0"/>
        <w:rPr/>
      </w:pPr>
      <w:r>
        <w:rPr>
          <w:rFonts w:cs="Arial" w:ascii="Arial" w:hAnsi="Arial"/>
          <w:b/>
        </w:rPr>
        <w:t>NC CCR Education and Training Coordinator</w:t>
      </w:r>
    </w:p>
    <w:p>
      <w:pPr>
        <w:pStyle w:val="Normal"/>
        <w:bidi w:val="0"/>
        <w:ind w:left="0" w:right="0" w:hanging="0"/>
        <w:rPr>
          <w:rFonts w:ascii="Arial" w:hAnsi="Arial" w:cs="Arial"/>
          <w:color w:val="000000"/>
        </w:rPr>
      </w:pPr>
      <w:r>
        <w:rPr>
          <w:rFonts w:cs="Arial" w:ascii="Arial" w:hAnsi="Arial"/>
          <w:color w:val="000000"/>
        </w:rPr>
      </w:r>
    </w:p>
    <w:p>
      <w:pPr>
        <w:pStyle w:val="Normal"/>
        <w:bidi w:val="0"/>
        <w:ind w:left="0" w:right="0" w:hanging="0"/>
        <w:rPr/>
      </w:pPr>
      <w:r>
        <w:rPr>
          <w:rFonts w:cs="Arial" w:ascii="Arial" w:hAnsi="Arial"/>
          <w:sz w:val="20"/>
          <w:szCs w:val="20"/>
        </w:rPr>
        <w:t>Registry Partners CTR Coding Break, June 2020: Bladder Grade</w:t>
      </w:r>
    </w:p>
    <w:p>
      <w:pPr>
        <w:pStyle w:val="Normal"/>
        <w:bidi w:val="0"/>
        <w:ind w:left="0" w:right="0" w:hanging="0"/>
        <w:rPr/>
      </w:pPr>
      <w:hyperlink r:id="rId90">
        <w:r>
          <w:rPr>
            <w:rStyle w:val="InternetLink"/>
            <w:rFonts w:cs="Arial" w:ascii="Arial" w:hAnsi="Arial"/>
            <w:sz w:val="20"/>
            <w:szCs w:val="20"/>
            <w:lang w:val="en-US" w:eastAsia="en-US" w:bidi="ar-SA"/>
          </w:rPr>
          <w:t>https://www.registrypartners.com/ctr-coding-break-bladder-site/</w:t>
        </w:r>
      </w:hyperlink>
    </w:p>
    <w:p>
      <w:pPr>
        <w:pStyle w:val="Normal"/>
        <w:bidi w:val="0"/>
        <w:ind w:left="0" w:right="0" w:hanging="0"/>
        <w:rPr/>
      </w:pPr>
      <w:r>
        <w:rPr>
          <w:rFonts w:cs="Arial" w:ascii="Arial" w:hAnsi="Arial"/>
          <w:sz w:val="20"/>
          <w:szCs w:val="20"/>
        </w:rPr>
        <w:t xml:space="preserve">This 6-minute presentation reviews the clinical and pathological timeframe, grade notes, priority order, and reviews common questions for coding grade for bladder. </w:t>
      </w:r>
      <w:r>
        <w:rPr>
          <w:rFonts w:cs="Arial" w:ascii="Arial" w:hAnsi="Arial"/>
          <w:color w:val="000000"/>
          <w:sz w:val="20"/>
          <w:szCs w:val="20"/>
        </w:rPr>
        <w:t>This is 6 minutes well spent! Review of 2018 cases has identified bladder grade as a problem area for coding errors. This video address those common errors. Open your Grade manual to Bladder (Table 19) and follow along and take notes!</w:t>
      </w:r>
    </w:p>
    <w:p>
      <w:pPr>
        <w:pStyle w:val="Normal"/>
        <w:pBdr>
          <w:bottom w:val="single" w:sz="12" w:space="1" w:color="000000"/>
        </w:pBdr>
        <w:bidi w:val="0"/>
        <w:ind w:left="0" w:right="0" w:hanging="0"/>
        <w:rPr>
          <w:rFonts w:ascii="Arial" w:hAnsi="Arial" w:eastAsia="Calibri" w:cs="Arial"/>
          <w:b/>
          <w:b/>
        </w:rPr>
      </w:pPr>
      <w:r>
        <w:rPr>
          <w:rFonts w:eastAsia="Calibri" w:cs="Arial" w:ascii="Arial" w:hAnsi="Arial"/>
          <w:b/>
        </w:rPr>
      </w:r>
    </w:p>
    <w:p>
      <w:pPr>
        <w:pStyle w:val="Normal"/>
        <w:pBdr>
          <w:bottom w:val="single" w:sz="12" w:space="1" w:color="000000"/>
        </w:pBdr>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jc w:val="center"/>
        <w:rPr/>
      </w:pPr>
      <w:r>
        <w:rPr>
          <w:sz w:val="36"/>
          <w:szCs w:val="36"/>
          <w:highlight w:val="lightGray"/>
        </w:rPr>
        <w:t>NCRA Call for Nominations</w:t>
      </w:r>
    </w:p>
    <w:p>
      <w:pPr>
        <w:pStyle w:val="Normal"/>
        <w:bidi w:val="0"/>
        <w:ind w:left="0" w:right="0" w:hanging="0"/>
        <w:jc w:val="center"/>
        <w:rPr>
          <w:rFonts w:ascii="Times New Roman" w:hAnsi="Times New Roman"/>
          <w:sz w:val="36"/>
          <w:szCs w:val="36"/>
        </w:rPr>
      </w:pPr>
      <w:r>
        <w:rPr>
          <w:sz w:val="36"/>
          <w:szCs w:val="36"/>
        </w:rPr>
      </w:r>
    </w:p>
    <w:p>
      <w:pPr>
        <w:pStyle w:val="Normal"/>
        <w:bidi w:val="0"/>
        <w:ind w:left="0" w:right="0" w:hanging="0"/>
        <w:rPr/>
      </w:pPr>
      <w:r>
        <w:rPr>
          <w:b/>
          <w:sz w:val="28"/>
          <w:szCs w:val="28"/>
        </w:rPr>
        <w:t>Melanie Williams Rogan, CTR</w:t>
      </w:r>
    </w:p>
    <w:p>
      <w:pPr>
        <w:pStyle w:val="Normal"/>
        <w:bidi w:val="0"/>
        <w:ind w:left="0" w:right="0" w:hanging="0"/>
        <w:rPr/>
      </w:pPr>
      <w:r>
        <w:rPr>
          <w:b/>
          <w:sz w:val="28"/>
          <w:szCs w:val="28"/>
        </w:rPr>
        <w:t>NCRA Nominating Committee Chair</w:t>
      </w:r>
    </w:p>
    <w:p>
      <w:pPr>
        <w:pStyle w:val="Normal"/>
        <w:bidi w:val="0"/>
        <w:ind w:left="0" w:right="0" w:hanging="0"/>
        <w:rPr>
          <w:rFonts w:ascii="Times New Roman" w:hAnsi="Times New Roman"/>
          <w:b/>
          <w:b/>
          <w:sz w:val="28"/>
          <w:szCs w:val="28"/>
        </w:rPr>
      </w:pPr>
      <w:r>
        <w:rPr>
          <w:b/>
          <w:sz w:val="28"/>
          <w:szCs w:val="28"/>
        </w:rPr>
      </w:r>
    </w:p>
    <w:p>
      <w:pPr>
        <w:pStyle w:val="Normal"/>
        <w:bidi w:val="0"/>
        <w:ind w:left="0" w:right="0" w:hanging="0"/>
        <w:rPr/>
      </w:pPr>
      <w:r>
        <w:rPr/>
        <w:t xml:space="preserve">Are you a leader? Have you ever had the desire to become a voice in the leadership of our association and become an influence and advocate to help drive the organization’s strategic direction? Have you ever wanted to expand professionally and share your knowledge with others? If you answered yes to any of these questions, please consider submitting a nomination for one of the NCRA elected positions below. Become a voice of the cancer registry profession and help drive the continued success of the NCRA. Volunteering with NCRA is a very rewarding experience that allows you to grow professionally, network with your peers and help guide the future of our organization! </w:t>
      </w:r>
    </w:p>
    <w:p>
      <w:pPr>
        <w:pStyle w:val="Normal"/>
        <w:bidi w:val="0"/>
        <w:ind w:left="0" w:right="0" w:hanging="0"/>
        <w:rPr>
          <w:rFonts w:ascii="Times New Roman" w:hAnsi="Times New Roman"/>
        </w:rPr>
      </w:pPr>
      <w:r>
        <w:rPr/>
      </w:r>
    </w:p>
    <w:p>
      <w:pPr>
        <w:pStyle w:val="Normal"/>
        <w:bidi w:val="0"/>
        <w:ind w:left="0" w:right="0" w:hanging="0"/>
        <w:rPr/>
      </w:pPr>
      <w:r>
        <w:rPr>
          <w:b/>
          <w:sz w:val="28"/>
          <w:szCs w:val="28"/>
        </w:rPr>
        <w:t>Board of Directors Open Positions</w:t>
      </w:r>
    </w:p>
    <w:p>
      <w:pPr>
        <w:pStyle w:val="ListParagraph"/>
        <w:numPr>
          <w:ilvl w:val="0"/>
          <w:numId w:val="9"/>
        </w:numPr>
        <w:bidi w:val="0"/>
        <w:spacing w:lineRule="auto" w:line="256" w:before="0" w:after="160"/>
        <w:ind w:left="720" w:right="0" w:hanging="360"/>
        <w:contextualSpacing/>
        <w:rPr/>
      </w:pPr>
      <w:r>
        <w:rPr/>
        <w:t>President Elect/Secretary</w:t>
      </w:r>
    </w:p>
    <w:p>
      <w:pPr>
        <w:pStyle w:val="ListParagraph"/>
        <w:numPr>
          <w:ilvl w:val="0"/>
          <w:numId w:val="9"/>
        </w:numPr>
        <w:bidi w:val="0"/>
        <w:spacing w:lineRule="auto" w:line="256" w:before="0" w:after="160"/>
        <w:ind w:left="720" w:right="0" w:hanging="360"/>
        <w:contextualSpacing/>
        <w:rPr/>
      </w:pPr>
      <w:r>
        <w:rPr/>
        <w:t>Treasurer Junior</w:t>
      </w:r>
    </w:p>
    <w:p>
      <w:pPr>
        <w:pStyle w:val="ListParagraph"/>
        <w:numPr>
          <w:ilvl w:val="0"/>
          <w:numId w:val="9"/>
        </w:numPr>
        <w:bidi w:val="0"/>
        <w:spacing w:lineRule="auto" w:line="256" w:before="0" w:after="160"/>
        <w:ind w:left="720" w:right="0" w:hanging="360"/>
        <w:contextualSpacing/>
        <w:rPr/>
      </w:pPr>
      <w:r>
        <w:rPr/>
        <w:t>Education Board Director</w:t>
      </w:r>
    </w:p>
    <w:p>
      <w:pPr>
        <w:pStyle w:val="ListParagraph"/>
        <w:numPr>
          <w:ilvl w:val="0"/>
          <w:numId w:val="9"/>
        </w:numPr>
        <w:bidi w:val="0"/>
        <w:spacing w:lineRule="auto" w:line="256" w:before="0" w:after="160"/>
        <w:ind w:left="720" w:right="0" w:hanging="360"/>
        <w:contextualSpacing/>
        <w:rPr/>
      </w:pPr>
      <w:r>
        <w:rPr/>
        <w:t xml:space="preserve">Recruitment and Retention Board Director </w:t>
      </w:r>
    </w:p>
    <w:p>
      <w:pPr>
        <w:pStyle w:val="ListParagraph"/>
        <w:numPr>
          <w:ilvl w:val="0"/>
          <w:numId w:val="9"/>
        </w:numPr>
        <w:bidi w:val="0"/>
        <w:spacing w:lineRule="auto" w:line="256" w:before="0" w:after="160"/>
        <w:ind w:left="720" w:right="0" w:hanging="360"/>
        <w:contextualSpacing/>
        <w:rPr/>
      </w:pPr>
      <w:r>
        <w:rPr/>
        <w:t xml:space="preserve">Advocacy and Technical Practice Board Director-one from each region (East, Midwest and West) </w:t>
      </w:r>
    </w:p>
    <w:p>
      <w:pPr>
        <w:pStyle w:val="Normal"/>
        <w:bidi w:val="0"/>
        <w:ind w:left="0" w:right="0" w:hanging="0"/>
        <w:rPr/>
      </w:pPr>
      <w:r>
        <w:rPr>
          <w:b/>
          <w:sz w:val="28"/>
          <w:szCs w:val="28"/>
        </w:rPr>
        <w:t>Other Open Positions</w:t>
      </w:r>
    </w:p>
    <w:p>
      <w:pPr>
        <w:pStyle w:val="ListParagraph"/>
        <w:numPr>
          <w:ilvl w:val="0"/>
          <w:numId w:val="11"/>
        </w:numPr>
        <w:bidi w:val="0"/>
        <w:spacing w:lineRule="auto" w:line="256" w:before="0" w:after="160"/>
        <w:ind w:left="720" w:right="0" w:hanging="360"/>
        <w:contextualSpacing/>
        <w:rPr/>
      </w:pPr>
      <w:r>
        <w:rPr>
          <w:bCs/>
        </w:rPr>
        <w:t>Council on Certification Administrator</w:t>
      </w:r>
    </w:p>
    <w:p>
      <w:pPr>
        <w:pStyle w:val="ListParagraph"/>
        <w:numPr>
          <w:ilvl w:val="0"/>
          <w:numId w:val="11"/>
        </w:numPr>
        <w:bidi w:val="0"/>
        <w:spacing w:lineRule="auto" w:line="256" w:before="0" w:after="160"/>
        <w:ind w:left="720" w:right="0" w:hanging="360"/>
        <w:contextualSpacing/>
        <w:rPr/>
      </w:pPr>
      <w:r>
        <w:rPr>
          <w:bCs/>
        </w:rPr>
        <w:t xml:space="preserve">Council on Certification Representative </w:t>
      </w:r>
    </w:p>
    <w:p>
      <w:pPr>
        <w:pStyle w:val="Normal"/>
        <w:bidi w:val="0"/>
        <w:ind w:left="0" w:right="0" w:hanging="0"/>
        <w:rPr/>
      </w:pPr>
      <w:r>
        <w:rPr>
          <w:b/>
          <w:sz w:val="28"/>
          <w:szCs w:val="28"/>
        </w:rPr>
        <w:t>Volunteer Leadership Presentations</w:t>
      </w:r>
    </w:p>
    <w:p>
      <w:pPr>
        <w:pStyle w:val="Normal"/>
        <w:bidi w:val="0"/>
        <w:ind w:left="0" w:right="0" w:hanging="0"/>
        <w:rPr/>
      </w:pPr>
      <w:r>
        <w:rPr/>
        <w:t xml:space="preserve">For those interested in volunteering for a leadership position, there are presentations for the various Board of Directors positions posted on the NCRA website. These presentations will give interested members an insight into the duties of each position. </w:t>
      </w:r>
      <w:hyperlink r:id="rId91">
        <w:r>
          <w:rPr>
            <w:rStyle w:val="InternetLink"/>
            <w:lang w:val="en-US" w:eastAsia="en-US" w:bidi="ar-SA"/>
          </w:rPr>
          <w:t>https://www.ncra-usa.org/Membership/Volunteer/Volunteer-Leadership-Presentations</w:t>
        </w:r>
      </w:hyperlink>
    </w:p>
    <w:p>
      <w:pPr>
        <w:pStyle w:val="Normal"/>
        <w:bidi w:val="0"/>
        <w:ind w:left="0" w:right="0" w:hanging="0"/>
        <w:rPr/>
      </w:pPr>
      <w:r>
        <w:rPr/>
        <w:t>Terms begin June 2021 and the deadline for nominations is Friday October 23rd. All offices are 2 year terms with the following exceptions:</w:t>
      </w:r>
    </w:p>
    <w:p>
      <w:pPr>
        <w:pStyle w:val="ListParagraph"/>
        <w:numPr>
          <w:ilvl w:val="0"/>
          <w:numId w:val="10"/>
        </w:numPr>
        <w:bidi w:val="0"/>
        <w:spacing w:lineRule="auto" w:line="256" w:before="0" w:after="160"/>
        <w:ind w:left="720" w:right="0" w:hanging="360"/>
        <w:contextualSpacing/>
        <w:rPr/>
      </w:pPr>
      <w:r>
        <w:rPr/>
        <w:t xml:space="preserve">President-Elect/Secretary is a one-year term with a roll-up to President (also a one-year term) and then Immediate Past President (another one-year term). </w:t>
      </w:r>
    </w:p>
    <w:p>
      <w:pPr>
        <w:pStyle w:val="ListParagraph"/>
        <w:numPr>
          <w:ilvl w:val="0"/>
          <w:numId w:val="10"/>
        </w:numPr>
        <w:bidi w:val="0"/>
        <w:spacing w:lineRule="auto" w:line="256" w:before="0" w:after="160"/>
        <w:ind w:left="720" w:right="0" w:hanging="360"/>
        <w:contextualSpacing/>
        <w:rPr/>
      </w:pPr>
      <w:r>
        <w:rPr/>
        <w:t>Treasurer Junior is a one-year term with a roll-up to Treasurer Senior for one term</w:t>
      </w:r>
    </w:p>
    <w:p>
      <w:pPr>
        <w:pStyle w:val="ListParagraph"/>
        <w:numPr>
          <w:ilvl w:val="0"/>
          <w:numId w:val="10"/>
        </w:numPr>
        <w:bidi w:val="0"/>
        <w:spacing w:lineRule="auto" w:line="256" w:before="0" w:after="160"/>
        <w:ind w:left="720" w:right="0" w:hanging="360"/>
        <w:contextualSpacing/>
        <w:rPr/>
      </w:pPr>
      <w:r>
        <w:rPr/>
        <w:t>Council Administrator is a three-year term</w:t>
      </w:r>
    </w:p>
    <w:p>
      <w:pPr>
        <w:pStyle w:val="Normal"/>
        <w:bidi w:val="0"/>
        <w:ind w:left="0" w:right="0" w:hanging="0"/>
        <w:rPr/>
      </w:pPr>
      <w:r>
        <w:rPr/>
        <w:t xml:space="preserve">Please visit </w:t>
      </w:r>
      <w:hyperlink r:id="rId92">
        <w:r>
          <w:rPr>
            <w:rStyle w:val="InternetLink"/>
            <w:lang w:val="en-US" w:eastAsia="en-US" w:bidi="ar-SA"/>
          </w:rPr>
          <w:t>https://www.ncra-usa.org/Membership/Nominations-and-Elections</w:t>
        </w:r>
      </w:hyperlink>
      <w:r>
        <w:rPr/>
        <w:t xml:space="preserve"> to explore the open positions with eligibility requirements, qualifications, descriptions of each position, as well as application forms. </w:t>
      </w:r>
    </w:p>
    <w:p>
      <w:pPr>
        <w:pStyle w:val="Normal"/>
        <w:bidi w:val="0"/>
        <w:ind w:left="0" w:right="0" w:hanging="0"/>
        <w:rPr>
          <w:rFonts w:ascii="Times New Roman" w:hAnsi="Times New Roman"/>
        </w:rPr>
      </w:pPr>
      <w:r>
        <w:rPr/>
      </w:r>
    </w:p>
    <w:p>
      <w:pPr>
        <w:pStyle w:val="Normal"/>
        <w:bidi w:val="0"/>
        <w:ind w:left="0" w:right="0" w:hanging="0"/>
        <w:rPr/>
      </w:pPr>
      <w:r>
        <w:rPr/>
        <w:t>Please consider nominating yourself or another NCRA member. This is a great opportunity to make a difference in the cancer registry profession and in shaping the future of the organization, while growing professionally, having a lot of fun and meeting new friends and colleagues!</w:t>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jc w:val="center"/>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rPr>
          <w:rFonts w:ascii="Arial" w:hAnsi="Arial" w:eastAsia="Calibri" w:cs="Arial"/>
          <w:b/>
          <w:b/>
        </w:rPr>
      </w:pPr>
      <w:r>
        <w:rPr>
          <w:rFonts w:eastAsia="Calibri" w:cs="Arial" w:ascii="Arial" w:hAnsi="Arial"/>
          <w:b/>
        </w:rPr>
      </w:r>
    </w:p>
    <w:p>
      <w:pPr>
        <w:pStyle w:val="Normal"/>
        <w:bidi w:val="0"/>
        <w:ind w:left="0" w:right="0" w:hanging="0"/>
        <w:jc w:val="center"/>
        <w:rPr/>
      </w:pPr>
      <w:r>
        <w:rPr>
          <w:rFonts w:eastAsia="Calibri" w:cs="Brush Script MT" w:ascii="Brush Script MT" w:hAnsi="Brush Script MT"/>
          <w:b/>
          <w:sz w:val="36"/>
          <w:szCs w:val="36"/>
        </w:rPr>
        <w:t>Stay Safe!  Stay Healthy!</w:t>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rFonts w:ascii="Brush Script MT" w:hAnsi="Brush Script MT" w:eastAsia="Calibri" w:cs="Brush Script MT"/>
          <w:b/>
          <w:b/>
          <w:sz w:val="36"/>
          <w:szCs w:val="36"/>
        </w:rPr>
      </w:pPr>
      <w:r>
        <w:rPr>
          <w:rFonts w:eastAsia="Calibri" w:cs="Brush Script MT" w:ascii="Brush Script MT" w:hAnsi="Brush Script MT"/>
          <w:b/>
          <w:sz w:val="36"/>
          <w:szCs w:val="36"/>
        </w:rPr>
      </w:r>
    </w:p>
    <w:p>
      <w:pPr>
        <w:pStyle w:val="Normal"/>
        <w:bidi w:val="0"/>
        <w:ind w:left="0" w:right="0" w:hanging="0"/>
        <w:jc w:val="center"/>
        <w:rPr/>
      </w:pPr>
      <w:r>
        <w:rPr>
          <w:rFonts w:eastAsia="Calibri" w:cs="Script MT Bold" w:ascii="Script MT Bold" w:hAnsi="Script MT Bold"/>
          <w:b/>
          <w:sz w:val="36"/>
          <w:szCs w:val="36"/>
        </w:rPr>
        <w:t>In the good ole summer time!</w:t>
      </w:r>
    </w:p>
    <w:sectPr>
      <w:footerReference w:type="default" r:id="rId93"/>
      <w:type w:val="nextPage"/>
      <w:pgSz w:w="12240" w:h="15840"/>
      <w:pgMar w:left="1440" w:right="1440" w:header="0" w:top="1080" w:footer="720" w:bottom="135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Light">
    <w:charset w:val="01"/>
    <w:family w:val="roman"/>
    <w:pitch w:val="variable"/>
  </w:font>
  <w:font w:name="Cambria">
    <w:charset w:val="01"/>
    <w:family w:val="roman"/>
    <w:pitch w:val="variable"/>
  </w:font>
  <w:font w:name="Courier New">
    <w:charset w:val="01"/>
    <w:family w:val="roman"/>
    <w:pitch w:val="variable"/>
  </w:font>
  <w:font w:name="Tahoma">
    <w:charset w:val="01"/>
    <w:family w:val="roman"/>
    <w:pitch w:val="variable"/>
  </w:font>
  <w:font w:name="Book Antiqua">
    <w:charset w:val="01"/>
    <w:family w:val="roman"/>
    <w:pitch w:val="variable"/>
  </w:font>
  <w:font w:name="Calibri">
    <w:charset w:val="01"/>
    <w:family w:val="roman"/>
    <w:pitch w:val="variable"/>
  </w:font>
  <w:font w:name="Liberation Sans">
    <w:altName w:val="Arial"/>
    <w:charset w:val="01"/>
    <w:family w:val="swiss"/>
    <w:pitch w:val="variable"/>
  </w:font>
  <w:font w:name="Arial">
    <w:charset w:val="01"/>
    <w:family w:val="roman"/>
    <w:pitch w:val="variable"/>
  </w:font>
  <w:font w:name="Script MT Bold">
    <w:charset w:val="01"/>
    <w:family w:val="roman"/>
    <w:pitch w:val="variable"/>
  </w:font>
  <w:font w:name="Century Gothic">
    <w:charset w:val="01"/>
    <w:family w:val="roman"/>
    <w:pitch w:val="variable"/>
  </w:font>
  <w:font w:name="Cooper Black">
    <w:charset w:val="01"/>
    <w:family w:val="roman"/>
    <w:pitch w:val="variable"/>
  </w:font>
  <w:font w:name="Brush Script MT">
    <w:charset w:val="01"/>
    <w:family w:val="roman"/>
    <w:pitch w:val="variable"/>
  </w:font>
  <w:font w:name="Symbol">
    <w:charset w:val="02"/>
    <w:family w:val="auto"/>
    <w:pitch w:val="variable"/>
  </w:font>
  <w:font w:name="Courier New">
    <w:charset w:val="01"/>
    <w:family w:val="auto"/>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widowControl/>
      <w:bidi w:val="0"/>
      <w:ind w:left="0" w:right="360" w:hanging="0"/>
      <w:jc w:val="left"/>
      <w:textAlignment w:val="auto"/>
      <w:rPr/>
    </w:pPr>
    <w:r>
      <w:rPr>
        <w:rFonts w:cs="Times New Roman"/>
        <w:sz w:val="24"/>
        <w:szCs w:val="24"/>
        <w:lang w:val="en-US" w:eastAsia="en-US" w:bidi="ar-SA"/>
      </w:rPr>
      <w:t>ANCCR The Sentinel – Summer 2020</w:t>
    </w:r>
    <w:r>
      <mc:AlternateContent>
        <mc:Choice Requires="wps">
          <w:drawing>
            <wp:anchor behindDoc="0" distT="0" distB="0" distL="0" distR="0" simplePos="0" locked="0" layoutInCell="1" allowOverlap="1" relativeHeight="20">
              <wp:simplePos x="0" y="0"/>
              <wp:positionH relativeFrom="margin">
                <wp:align>right</wp:align>
              </wp:positionH>
              <wp:positionV relativeFrom="paragraph">
                <wp:posOffset>635</wp:posOffset>
              </wp:positionV>
              <wp:extent cx="153035" cy="175260"/>
              <wp:effectExtent l="0" t="0" r="0" b="0"/>
              <wp:wrapTopAndBottom/>
              <wp:docPr id="8" name="Frame1"/>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widowControl/>
                            <w:pBdr/>
                            <w:bidi w:val="0"/>
                            <w:ind w:left="0" w:right="0" w:hanging="0"/>
                            <w:jc w:val="left"/>
                            <w:textAlignment w:val="auto"/>
                            <w:rPr/>
                          </w:pPr>
                          <w:r>
                            <w:rPr>
                              <w:rStyle w:val="Pagenumber"/>
                              <w:rFonts w:cs="Times New Roman"/>
                              <w:sz w:val="24"/>
                              <w:szCs w:val="24"/>
                              <w:lang w:val="en-US" w:eastAsia="en-US" w:bidi="ar-SA"/>
                            </w:rPr>
                            <w:fldChar w:fldCharType="begin"/>
                          </w:r>
                          <w:r>
                            <w:rPr>
                              <w:rStyle w:val="Pagenumber"/>
                              <w:sz w:val="24"/>
                              <w:szCs w:val="24"/>
                              <w:rFonts w:cs="Times New Roman"/>
                              <w:lang w:val="en-US" w:eastAsia="en-US" w:bidi="ar-SA"/>
                            </w:rPr>
                            <w:instrText> PAGE </w:instrText>
                          </w:r>
                          <w:r>
                            <w:rPr>
                              <w:rStyle w:val="Pagenumber"/>
                              <w:sz w:val="24"/>
                              <w:szCs w:val="24"/>
                              <w:rFonts w:cs="Times New Roman"/>
                              <w:lang w:val="en-US" w:eastAsia="en-US" w:bidi="ar-SA"/>
                            </w:rPr>
                            <w:fldChar w:fldCharType="separate"/>
                          </w:r>
                          <w:r>
                            <w:rPr>
                              <w:rStyle w:val="Pagenumber"/>
                              <w:sz w:val="24"/>
                              <w:szCs w:val="24"/>
                              <w:rFonts w:cs="Times New Roman"/>
                              <w:lang w:val="en-US" w:eastAsia="en-US" w:bidi="ar-SA"/>
                            </w:rPr>
                            <w:t>12</w:t>
                          </w:r>
                          <w:r>
                            <w:rPr>
                              <w:rStyle w:val="Pagenumber"/>
                              <w:sz w:val="24"/>
                              <w:szCs w:val="24"/>
                              <w:rFonts w:cs="Times New Roman"/>
                              <w:lang w:val="en-US" w:eastAsia="en-US" w:bidi="ar-SA"/>
                            </w:rP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pt;mso-position-vertical-relative:text;margin-left:455.95pt;mso-position-horizontal:right;mso-position-horizontal-relative:margin">
              <v:fill opacity="0f"/>
              <v:textbox inset="0in,0in,0in,0in">
                <w:txbxContent>
                  <w:p>
                    <w:pPr>
                      <w:pStyle w:val="Footer"/>
                      <w:widowControl/>
                      <w:pBdr/>
                      <w:bidi w:val="0"/>
                      <w:ind w:left="0" w:right="0" w:hanging="0"/>
                      <w:jc w:val="left"/>
                      <w:textAlignment w:val="auto"/>
                      <w:rPr/>
                    </w:pPr>
                    <w:r>
                      <w:rPr>
                        <w:rStyle w:val="Pagenumber"/>
                        <w:rFonts w:cs="Times New Roman"/>
                        <w:sz w:val="24"/>
                        <w:szCs w:val="24"/>
                        <w:lang w:val="en-US" w:eastAsia="en-US" w:bidi="ar-SA"/>
                      </w:rPr>
                      <w:fldChar w:fldCharType="begin"/>
                    </w:r>
                    <w:r>
                      <w:rPr>
                        <w:rStyle w:val="Pagenumber"/>
                        <w:sz w:val="24"/>
                        <w:szCs w:val="24"/>
                        <w:rFonts w:cs="Times New Roman"/>
                        <w:lang w:val="en-US" w:eastAsia="en-US" w:bidi="ar-SA"/>
                      </w:rPr>
                      <w:instrText> PAGE </w:instrText>
                    </w:r>
                    <w:r>
                      <w:rPr>
                        <w:rStyle w:val="Pagenumber"/>
                        <w:sz w:val="24"/>
                        <w:szCs w:val="24"/>
                        <w:rFonts w:cs="Times New Roman"/>
                        <w:lang w:val="en-US" w:eastAsia="en-US" w:bidi="ar-SA"/>
                      </w:rPr>
                      <w:fldChar w:fldCharType="separate"/>
                    </w:r>
                    <w:r>
                      <w:rPr>
                        <w:rStyle w:val="Pagenumber"/>
                        <w:sz w:val="24"/>
                        <w:szCs w:val="24"/>
                        <w:rFonts w:cs="Times New Roman"/>
                        <w:lang w:val="en-US" w:eastAsia="en-US" w:bidi="ar-SA"/>
                      </w:rPr>
                      <w:t>12</w:t>
                    </w:r>
                    <w:r>
                      <w:rPr>
                        <w:rStyle w:val="Pagenumber"/>
                        <w:sz w:val="24"/>
                        <w:szCs w:val="24"/>
                        <w:rFonts w:cs="Times New Roman"/>
                        <w:lang w:val="en-US" w:eastAsia="en-US" w:bidi="ar-SA"/>
                      </w:rPr>
                      <w:fldChar w:fldCharType="end"/>
                    </w:r>
                  </w:p>
                </w:txbxContent>
              </v:textbox>
              <w10:wrap type="topAndBottom"/>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rPr>
        <w:sz w:val="20"/>
        <w:rFonts w:ascii="Arial" w:hAnsi="Arial"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en-US" w:eastAsia="zh-CN" w:bidi="hi-IN"/>
      </w:rPr>
    </w:rPrDefault>
    <w:pPrDefault>
      <w:pPr>
        <w:suppressAutoHyphens w:val="true"/>
      </w:pPr>
    </w:pPrDefault>
  </w:docDefaults>
  <w:style w:type="paragraph" w:styleId="Normal">
    <w:name w:val="Normal"/>
    <w:qFormat/>
    <w:pPr>
      <w:widowControl/>
      <w:bidi w:val="0"/>
      <w:jc w:val="left"/>
      <w:textAlignment w:val="auto"/>
    </w:pPr>
    <w:rPr>
      <w:rFonts w:ascii="Times New Roman" w:hAnsi="Times New Roman" w:eastAsia="Courier New" w:cs="Times New Roman"/>
      <w:color w:val="auto"/>
      <w:kern w:val="2"/>
      <w:sz w:val="24"/>
      <w:szCs w:val="24"/>
      <w:lang w:val="en-US" w:eastAsia="en-US" w:bidi="ar-SA"/>
    </w:rPr>
  </w:style>
  <w:style w:type="paragraph" w:styleId="Heading1">
    <w:name w:val="Heading 1"/>
    <w:basedOn w:val="Normal"/>
    <w:qFormat/>
    <w:pPr>
      <w:keepNext w:val="true"/>
      <w:jc w:val="center"/>
      <w:outlineLvl w:val="0"/>
    </w:pPr>
    <w:rPr>
      <w:i/>
      <w:iCs/>
    </w:rPr>
  </w:style>
  <w:style w:type="paragraph" w:styleId="Heading2">
    <w:name w:val="Heading 2"/>
    <w:basedOn w:val="Normal"/>
    <w:qFormat/>
    <w:pPr>
      <w:keepNext w:val="true"/>
      <w:spacing w:before="240" w:after="60"/>
      <w:outlineLvl w:val="1"/>
    </w:pPr>
    <w:rPr>
      <w:rFonts w:ascii="Calibri Light" w:hAnsi="Calibri Light"/>
      <w:b/>
      <w:bCs/>
      <w:i/>
      <w:iCs/>
      <w:sz w:val="28"/>
      <w:szCs w:val="28"/>
    </w:rPr>
  </w:style>
  <w:style w:type="paragraph" w:styleId="Heading3">
    <w:name w:val="Heading 3"/>
    <w:basedOn w:val="Normal"/>
    <w:qFormat/>
    <w:pPr>
      <w:keepNext w:val="true"/>
      <w:spacing w:before="240" w:after="60"/>
      <w:outlineLvl w:val="2"/>
    </w:pPr>
    <w:rPr>
      <w:rFonts w:ascii="Cambria" w:hAnsi="Cambria"/>
      <w:b/>
      <w:bCs/>
      <w:sz w:val="26"/>
      <w:szCs w:val="26"/>
    </w:rPr>
  </w:style>
  <w:style w:type="character" w:styleId="DefaultParagraphFont">
    <w:name w:val="Default Paragraph Font"/>
    <w:qFormat/>
    <w:rPr/>
  </w:style>
  <w:style w:type="character" w:styleId="InternetLink">
    <w:name w:val="Hyperlink"/>
    <w:rPr>
      <w:color w:val="0000FF"/>
      <w:u w:val="single"/>
    </w:rPr>
  </w:style>
  <w:style w:type="character" w:styleId="Blacktext">
    <w:name w:val="blacktext"/>
    <w:basedOn w:val="DefaultParagraphFont"/>
    <w:qFormat/>
    <w:rPr/>
  </w:style>
  <w:style w:type="character" w:styleId="Strong">
    <w:name w:val="Strong"/>
    <w:qFormat/>
    <w:rPr>
      <w:b/>
    </w:rPr>
  </w:style>
  <w:style w:type="character" w:styleId="Emphasis">
    <w:name w:val="Emphasis"/>
    <w:qFormat/>
    <w:rPr>
      <w:i/>
    </w:rPr>
  </w:style>
  <w:style w:type="character" w:styleId="Pagenumber">
    <w:name w:val="page number"/>
    <w:basedOn w:val="DefaultParagraphFont"/>
    <w:qFormat/>
    <w:rPr/>
  </w:style>
  <w:style w:type="character" w:styleId="Name">
    <w:name w:val="name"/>
    <w:basedOn w:val="DefaultParagraphFont"/>
    <w:qFormat/>
    <w:rPr/>
  </w:style>
  <w:style w:type="character" w:styleId="FootnoteTextChar">
    <w:name w:val="Footnote Text Char"/>
    <w:basedOn w:val="DefaultParagraphFont"/>
    <w:qFormat/>
    <w:rPr/>
  </w:style>
  <w:style w:type="character" w:styleId="FootnoteCharacters">
    <w:name w:val="Footnote Characters"/>
    <w:qFormat/>
    <w:rPr>
      <w:vertAlign w:val="superscript"/>
    </w:rPr>
  </w:style>
  <w:style w:type="character" w:styleId="FootnoteAnchor">
    <w:name w:val="Footnote Anchor"/>
    <w:rPr>
      <w:vertAlign w:val="superscript"/>
    </w:rPr>
  </w:style>
  <w:style w:type="character" w:styleId="Heading3Char">
    <w:name w:val="Heading 3 Char"/>
    <w:qFormat/>
    <w:rPr>
      <w:rFonts w:ascii="Cambria" w:hAnsi="Cambria"/>
      <w:b/>
      <w:sz w:val="26"/>
    </w:rPr>
  </w:style>
  <w:style w:type="character" w:styleId="HTMLPreformattedChar">
    <w:name w:val="HTML Preformatted Char"/>
    <w:qFormat/>
    <w:rPr>
      <w:rFonts w:ascii="Courier New" w:hAnsi="Courier New"/>
    </w:rPr>
  </w:style>
  <w:style w:type="character" w:styleId="BalloonTextChar">
    <w:name w:val="Balloon Text Char"/>
    <w:qFormat/>
    <w:rPr>
      <w:rFonts w:ascii="Tahoma" w:hAnsi="Tahoma"/>
      <w:sz w:val="16"/>
    </w:rPr>
  </w:style>
  <w:style w:type="character" w:styleId="VisitedInternetLink">
    <w:name w:val="FollowedHyperlink"/>
    <w:rPr>
      <w:color w:val="800080"/>
      <w:u w:val="single"/>
    </w:rPr>
  </w:style>
  <w:style w:type="character" w:styleId="BodyTextChar">
    <w:name w:val="Body Text Char"/>
    <w:qFormat/>
    <w:rPr>
      <w:sz w:val="24"/>
    </w:rPr>
  </w:style>
  <w:style w:type="character" w:styleId="Pdf1">
    <w:name w:val="pdf1"/>
    <w:qFormat/>
    <w:rPr>
      <w:color w:val="767676"/>
      <w:sz w:val="23"/>
    </w:rPr>
  </w:style>
  <w:style w:type="character" w:styleId="EndnoteTextChar">
    <w:name w:val="Endnote Text Char"/>
    <w:basedOn w:val="DefaultParagraphFont"/>
    <w:qFormat/>
    <w:rPr/>
  </w:style>
  <w:style w:type="character" w:styleId="EndnoteCharacters">
    <w:name w:val="Endnote Characters"/>
    <w:qFormat/>
    <w:rPr>
      <w:vertAlign w:val="superscript"/>
    </w:rPr>
  </w:style>
  <w:style w:type="character" w:styleId="EndnoteAnchor">
    <w:name w:val="Endnote Anchor"/>
    <w:rPr>
      <w:vertAlign w:val="superscript"/>
    </w:rPr>
  </w:style>
  <w:style w:type="character" w:styleId="Heading2Char">
    <w:name w:val="Heading 2 Char"/>
    <w:qFormat/>
    <w:rPr>
      <w:rFonts w:ascii="Calibri Light" w:hAnsi="Calibri Light"/>
      <w:b/>
      <w:i/>
      <w:sz w:val="28"/>
    </w:rPr>
  </w:style>
  <w:style w:type="character" w:styleId="TitleChar">
    <w:name w:val="Title Char"/>
    <w:qFormat/>
    <w:rPr>
      <w:rFonts w:ascii="Book Antiqua" w:hAnsi="Book Antiqua"/>
      <w:color w:val="17365D"/>
      <w:spacing w:val="5"/>
      <w:kern w:val="2"/>
      <w:sz w:val="52"/>
    </w:rPr>
  </w:style>
  <w:style w:type="character" w:styleId="Appleconvertedspace">
    <w:name w:val="apple-converted-space"/>
    <w:qFormat/>
    <w:rPr/>
  </w:style>
  <w:style w:type="character" w:styleId="PlainTextChar">
    <w:name w:val="Plain Text Char"/>
    <w:qFormat/>
    <w:rPr>
      <w:sz w:val="24"/>
    </w:rPr>
  </w:style>
  <w:style w:type="character" w:styleId="UnresolvedMention">
    <w:name w:val="Unresolved Mention"/>
    <w:qFormat/>
    <w:rPr>
      <w:color w:val="808080"/>
      <w:shd w:fill="E6E6E6" w:val="clear"/>
    </w:rPr>
  </w:style>
  <w:style w:type="character" w:styleId="Articledescription">
    <w:name w:val="articledescription"/>
    <w:qFormat/>
    <w:rPr/>
  </w:style>
  <w:style w:type="character" w:styleId="Articletitle">
    <w:name w:val="articletitle"/>
    <w:qFormat/>
    <w:rPr/>
  </w:style>
  <w:style w:type="character" w:styleId="IntenseQuoteChar">
    <w:name w:val="Intense Quote Char"/>
    <w:qFormat/>
    <w:rPr>
      <w:rFonts w:ascii="Calibri" w:hAnsi="Calibri" w:eastAsia="Calibri" w:cs="Calibri"/>
      <w:i/>
      <w:color w:val="4472C4"/>
      <w:sz w:val="2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2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Table">
    <w:name w:val="Normal Table"/>
    <w:qFormat/>
    <w:pPr>
      <w:widowControl/>
      <w:bidi w:val="0"/>
      <w:jc w:val="left"/>
      <w:textAlignment w:val="auto"/>
    </w:pPr>
    <w:rPr>
      <w:rFonts w:ascii="Times New Roman" w:hAnsi="Times New Roman" w:eastAsia="Courier New" w:cs="Times New Roman"/>
      <w:color w:val="auto"/>
      <w:kern w:val="2"/>
      <w:sz w:val="20"/>
      <w:szCs w:val="20"/>
      <w:lang w:val="en-US" w:eastAsia="en-US" w:bidi="ar-SA"/>
    </w:rPr>
  </w:style>
  <w:style w:type="paragraph" w:styleId="TableList4">
    <w:name w:val="Table List 4"/>
    <w:basedOn w:val="NormalTable"/>
    <w:qFormat/>
    <w:pPr/>
    <w:rPr>
      <w:sz w:val="20"/>
      <w:szCs w:val="20"/>
    </w:rPr>
  </w:style>
  <w:style w:type="paragraph" w:styleId="HeaderandFooter">
    <w:name w:val="Header and Footer"/>
    <w:basedOn w:val="Normal"/>
    <w:qFormat/>
    <w:pPr/>
    <w:rPr/>
  </w:style>
  <w:style w:type="paragraph" w:styleId="Header">
    <w:name w:val="Header"/>
    <w:basedOn w:val="Normal"/>
    <w:pPr>
      <w:tabs>
        <w:tab w:val="clear" w:pos="720"/>
        <w:tab w:val="center" w:pos="4320" w:leader="none"/>
        <w:tab w:val="right" w:pos="8640" w:leader="none"/>
      </w:tabs>
    </w:pPr>
    <w:rPr/>
  </w:style>
  <w:style w:type="paragraph" w:styleId="NormalWeb">
    <w:name w:val="Normal (Web)"/>
    <w:basedOn w:val="Normal"/>
    <w:qFormat/>
    <w:pPr>
      <w:spacing w:beforeAutospacing="1" w:afterAutospacing="1"/>
    </w:pPr>
    <w:rPr/>
  </w:style>
  <w:style w:type="paragraph" w:styleId="PlainText">
    <w:name w:val="Plain Text"/>
    <w:basedOn w:val="Normal"/>
    <w:qFormat/>
    <w:pPr>
      <w:spacing w:beforeAutospacing="1" w:afterAutospacing="1"/>
    </w:pPr>
    <w:rPr/>
  </w:style>
  <w:style w:type="paragraph" w:styleId="Footer">
    <w:name w:val="Footer"/>
    <w:basedOn w:val="Normal"/>
    <w:pPr>
      <w:tabs>
        <w:tab w:val="clear" w:pos="720"/>
        <w:tab w:val="center" w:pos="4320" w:leader="none"/>
        <w:tab w:val="right" w:pos="8640" w:leader="none"/>
      </w:tabs>
    </w:pPr>
    <w:rPr/>
  </w:style>
  <w:style w:type="paragraph" w:styleId="NoSpacing">
    <w:name w:val="No Spacing"/>
    <w:qFormat/>
    <w:pPr>
      <w:widowControl/>
      <w:bidi w:val="0"/>
      <w:jc w:val="left"/>
      <w:textAlignment w:val="auto"/>
    </w:pPr>
    <w:rPr>
      <w:rFonts w:ascii="Calibri" w:hAnsi="Calibri" w:eastAsia="Calibri" w:cs="Calibri"/>
      <w:color w:val="auto"/>
      <w:kern w:val="2"/>
      <w:sz w:val="22"/>
      <w:szCs w:val="22"/>
      <w:lang w:val="en-US" w:eastAsia="en-US" w:bidi="ar-SA"/>
    </w:rPr>
  </w:style>
  <w:style w:type="paragraph" w:styleId="ListParagraph">
    <w:name w:val="List Paragraph"/>
    <w:basedOn w:val="Normal"/>
    <w:qFormat/>
    <w:pPr>
      <w:spacing w:before="0" w:after="0"/>
      <w:ind w:left="720" w:hanging="0"/>
      <w:contextualSpacing/>
    </w:pPr>
    <w:rPr/>
  </w:style>
  <w:style w:type="paragraph" w:styleId="Footnote">
    <w:name w:val="Footnote Text"/>
    <w:basedOn w:val="Normal"/>
    <w:pPr/>
    <w:rPr>
      <w:sz w:val="20"/>
      <w:szCs w:val="20"/>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paragraph" w:styleId="Default">
    <w:name w:val="Default"/>
    <w:qFormat/>
    <w:pPr>
      <w:widowControl/>
      <w:bidi w:val="0"/>
      <w:jc w:val="left"/>
      <w:textAlignment w:val="auto"/>
    </w:pPr>
    <w:rPr>
      <w:rFonts w:ascii="Times New Roman" w:hAnsi="Times New Roman" w:eastAsia="Courier New" w:cs="Times New Roman"/>
      <w:color w:val="000000"/>
      <w:kern w:val="2"/>
      <w:sz w:val="24"/>
      <w:szCs w:val="24"/>
      <w:lang w:val="en-US" w:eastAsia="en-US" w:bidi="ar-SA"/>
    </w:rPr>
  </w:style>
  <w:style w:type="paragraph" w:styleId="BalloonText">
    <w:name w:val="Balloon Text"/>
    <w:basedOn w:val="Normal"/>
    <w:qFormat/>
    <w:pPr/>
    <w:rPr>
      <w:rFonts w:ascii="Tahoma" w:hAnsi="Tahoma"/>
      <w:sz w:val="16"/>
      <w:szCs w:val="16"/>
    </w:rPr>
  </w:style>
  <w:style w:type="paragraph" w:styleId="TableGrid">
    <w:name w:val="Table Grid"/>
    <w:basedOn w:val="NormalTable"/>
    <w:qFormat/>
    <w:pPr/>
    <w:rPr>
      <w:rFonts w:ascii="Calibri" w:hAnsi="Calibri" w:eastAsia="Calibri" w:cs="Calibri"/>
      <w:sz w:val="22"/>
      <w:szCs w:val="22"/>
    </w:rPr>
  </w:style>
  <w:style w:type="paragraph" w:styleId="LightListAccent2">
    <w:name w:val="Light List Accent 2"/>
    <w:basedOn w:val="NormalTable"/>
    <w:qFormat/>
    <w:pPr/>
    <w:rPr>
      <w:rFonts w:ascii="Calibri" w:hAnsi="Calibri" w:eastAsia="Calibri" w:cs="Calibri"/>
      <w:sz w:val="22"/>
      <w:szCs w:val="22"/>
    </w:rPr>
  </w:style>
  <w:style w:type="paragraph" w:styleId="Endnote">
    <w:name w:val="Endnote Text"/>
    <w:basedOn w:val="Normal"/>
    <w:pPr/>
    <w:rPr>
      <w:sz w:val="20"/>
      <w:szCs w:val="20"/>
    </w:rPr>
  </w:style>
  <w:style w:type="paragraph" w:styleId="Title">
    <w:name w:val="Title"/>
    <w:basedOn w:val="Normal"/>
    <w:qFormat/>
    <w:pPr>
      <w:pBdr>
        <w:bottom w:val="single" w:sz="8" w:space="4" w:color="4F81BD"/>
      </w:pBdr>
      <w:spacing w:before="0" w:after="300"/>
      <w:contextualSpacing/>
    </w:pPr>
    <w:rPr>
      <w:rFonts w:ascii="Book Antiqua" w:hAnsi="Book Antiqua"/>
      <w:color w:val="17365D"/>
      <w:spacing w:val="5"/>
      <w:kern w:val="2"/>
      <w:sz w:val="52"/>
      <w:szCs w:val="52"/>
    </w:rPr>
  </w:style>
  <w:style w:type="paragraph" w:styleId="TableGrid1">
    <w:name w:val="Table Grid1"/>
    <w:basedOn w:val="NormalTable"/>
    <w:qFormat/>
    <w:pPr/>
    <w:rPr>
      <w:rFonts w:ascii="Calibri" w:hAnsi="Calibri" w:eastAsia="Calibri" w:cs="Calibri"/>
      <w:sz w:val="22"/>
      <w:szCs w:val="22"/>
    </w:rPr>
  </w:style>
  <w:style w:type="paragraph" w:styleId="TableGrid2">
    <w:name w:val="Table Grid2"/>
    <w:basedOn w:val="NormalTable"/>
    <w:qFormat/>
    <w:pPr/>
    <w:rPr>
      <w:rFonts w:ascii="Calibri" w:hAnsi="Calibri" w:eastAsia="Calibri" w:cs="Calibri"/>
      <w:sz w:val="22"/>
      <w:szCs w:val="22"/>
    </w:rPr>
  </w:style>
  <w:style w:type="paragraph" w:styleId="TableGrid3">
    <w:name w:val="Table Grid3"/>
    <w:basedOn w:val="NormalTable"/>
    <w:qFormat/>
    <w:pPr/>
    <w:rPr>
      <w:rFonts w:ascii="Calibri" w:hAnsi="Calibri" w:eastAsia="Calibri" w:cs="Calibri"/>
      <w:sz w:val="22"/>
      <w:szCs w:val="22"/>
    </w:rPr>
  </w:style>
  <w:style w:type="paragraph" w:styleId="TableGrid4">
    <w:name w:val="Table Grid4"/>
    <w:basedOn w:val="NormalTable"/>
    <w:qFormat/>
    <w:pPr/>
    <w:rPr>
      <w:rFonts w:ascii="Calibri" w:hAnsi="Calibri" w:eastAsia="Calibri" w:cs="Calibri"/>
      <w:sz w:val="22"/>
      <w:szCs w:val="22"/>
    </w:rPr>
  </w:style>
  <w:style w:type="paragraph" w:styleId="TableGrid5">
    <w:name w:val="Table Grid5"/>
    <w:basedOn w:val="NormalTable"/>
    <w:qFormat/>
    <w:pPr/>
    <w:rPr>
      <w:rFonts w:ascii="Calibri" w:hAnsi="Calibri" w:eastAsia="Calibri" w:cs="Calibri"/>
      <w:sz w:val="22"/>
      <w:szCs w:val="22"/>
    </w:rPr>
  </w:style>
  <w:style w:type="paragraph" w:styleId="Msrteelementp">
    <w:name w:val="ms-rteelement-p"/>
    <w:basedOn w:val="Normal"/>
    <w:qFormat/>
    <w:pPr>
      <w:spacing w:lineRule="atLeast" w:line="360" w:before="0" w:after="360"/>
    </w:pPr>
    <w:rPr/>
  </w:style>
  <w:style w:type="paragraph" w:styleId="IntenseQuote">
    <w:name w:val="Intense Quote"/>
    <w:basedOn w:val="Normal"/>
    <w:qFormat/>
    <w:pPr>
      <w:pBdr>
        <w:top w:val="single" w:sz="4" w:space="10" w:color="4472C4"/>
        <w:bottom w:val="single" w:sz="4" w:space="10" w:color="4472C4"/>
      </w:pBdr>
      <w:spacing w:before="360" w:after="360"/>
      <w:ind w:left="864" w:right="864" w:hanging="0"/>
      <w:jc w:val="center"/>
    </w:pPr>
    <w:rPr>
      <w:rFonts w:ascii="Calibri" w:hAnsi="Calibri" w:eastAsia="Calibri" w:cs="Calibri"/>
      <w:i/>
      <w:iCs/>
      <w:color w:val="4472C4"/>
      <w:sz w:val="22"/>
      <w:szCs w:val="22"/>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oleObject" Target="embeddings/oleObject1.bin"/><Relationship Id="rId4" Type="http://schemas.openxmlformats.org/officeDocument/2006/relationships/image" Target="media/image2.wmf"/><Relationship Id="rId5" Type="http://schemas.openxmlformats.org/officeDocument/2006/relationships/hyperlink" Target="mailto:paige.tedder@atriumhealth.org" TargetMode="External"/><Relationship Id="rId6" Type="http://schemas.openxmlformats.org/officeDocument/2006/relationships/hyperlink" Target="mailto:kalowrance@novanthealth.org" TargetMode="External"/><Relationship Id="rId7" Type="http://schemas.openxmlformats.org/officeDocument/2006/relationships/hyperlink" Target="mailto:angela.rodriguez@mercy.net" TargetMode="External"/><Relationship Id="rId8" Type="http://schemas.openxmlformats.org/officeDocument/2006/relationships/hyperlink" Target="mailto:amyarnold@registrypartners.com" TargetMode="External"/><Relationship Id="rId9" Type="http://schemas.openxmlformats.org/officeDocument/2006/relationships/hyperlink" Target="mailto:jamstribe@aol.com" TargetMode="External"/><Relationship Id="rId10" Type="http://schemas.openxmlformats.org/officeDocument/2006/relationships/hyperlink" Target="mailto:abrown@q-centrix.com" TargetMode="External"/><Relationship Id="rId11" Type="http://schemas.openxmlformats.org/officeDocument/2006/relationships/hyperlink" Target="mailto:kimberly.swing@duke.edu" TargetMode="External"/><Relationship Id="rId12" Type="http://schemas.openxmlformats.org/officeDocument/2006/relationships/hyperlink" Target="mailto:karen.knight@duke.edu" TargetMode="External"/><Relationship Id="rId13" Type="http://schemas.openxmlformats.org/officeDocument/2006/relationships/hyperlink" Target="mailto:iinman@wakehealth.edu" TargetMode="External"/><Relationship Id="rId14" Type="http://schemas.openxmlformats.org/officeDocument/2006/relationships/hyperlink" Target="mailto:ruth.maranda@dhhs.nc.gov" TargetMode="External"/><Relationship Id="rId15" Type="http://schemas.openxmlformats.org/officeDocument/2006/relationships/hyperlink" Target="mailto:angela.rodriguez@mercy.net" TargetMode="External"/><Relationship Id="rId16" Type="http://schemas.openxmlformats.org/officeDocument/2006/relationships/hyperlink" Target="mailto:mrogan@mycrstar.com" TargetMode="External"/><Relationship Id="rId17" Type="http://schemas.openxmlformats.org/officeDocument/2006/relationships/hyperlink" Target="mailto:allison.shelor@unchealth.unc.edu" TargetMode="External"/><Relationship Id="rId18" Type="http://schemas.openxmlformats.org/officeDocument/2006/relationships/hyperlink" Target="mailto:jburris@wakehealth.edu" TargetMode="External"/><Relationship Id="rId19" Type="http://schemas.openxmlformats.org/officeDocument/2006/relationships/hyperlink" Target="mailto:isaiah.zipple@unchealth.unc.edu" TargetMode="External"/><Relationship Id="rId20" Type="http://schemas.openxmlformats.org/officeDocument/2006/relationships/hyperlink" Target="mailto:kalowrance@novanthealth.org" TargetMode="External"/><Relationship Id="rId21" Type="http://schemas.openxmlformats.org/officeDocument/2006/relationships/hyperlink" Target="mailto:iinman@wakehealth.edu" TargetMode="External"/><Relationship Id="rId22" Type="http://schemas.openxmlformats.org/officeDocument/2006/relationships/hyperlink" Target="mailto:ccrimmer@novanthealth.org" TargetMode="External"/><Relationship Id="rId23" Type="http://schemas.openxmlformats.org/officeDocument/2006/relationships/hyperlink" Target="mailto:kisha.raynor@carolinashealthcare.org" TargetMode="External"/><Relationship Id="rId24" Type="http://schemas.openxmlformats.org/officeDocument/2006/relationships/hyperlink" Target="mailto:kathleen.foote@unchealth.unc.edu" TargetMode="External"/><Relationship Id="rId25" Type="http://schemas.openxmlformats.org/officeDocument/2006/relationships/hyperlink" Target="mailto:angela.rodriguez@mercy.net" TargetMode="External"/><Relationship Id="rId26" Type="http://schemas.openxmlformats.org/officeDocument/2006/relationships/hyperlink" Target="mailto:melissa.pearson@dhhs.nc.gov" TargetMode="External"/><Relationship Id="rId27" Type="http://schemas.openxmlformats.org/officeDocument/2006/relationships/oleObject" Target="embeddings/oleObject2.bin"/><Relationship Id="rId28" Type="http://schemas.openxmlformats.org/officeDocument/2006/relationships/image" Target="media/image3.wmf"/><Relationship Id="rId29" Type="http://schemas.openxmlformats.org/officeDocument/2006/relationships/oleObject" Target="embeddings/oleObject3.bin"/><Relationship Id="rId30" Type="http://schemas.openxmlformats.org/officeDocument/2006/relationships/image" Target="media/image4.wmf"/><Relationship Id="rId31" Type="http://schemas.openxmlformats.org/officeDocument/2006/relationships/oleObject" Target="embeddings/oleObject4.bin"/><Relationship Id="rId32" Type="http://schemas.openxmlformats.org/officeDocument/2006/relationships/image" Target="media/image5.wmf"/><Relationship Id="rId33" Type="http://schemas.openxmlformats.org/officeDocument/2006/relationships/oleObject" Target="embeddings/oleObject5.bin"/><Relationship Id="rId34" Type="http://schemas.openxmlformats.org/officeDocument/2006/relationships/image" Target="media/image6.wmf"/><Relationship Id="rId35" Type="http://schemas.openxmlformats.org/officeDocument/2006/relationships/oleObject" Target="embeddings/oleObject6.bin"/><Relationship Id="rId36" Type="http://schemas.openxmlformats.org/officeDocument/2006/relationships/image" Target="media/image7.wmf"/><Relationship Id="rId37" Type="http://schemas.openxmlformats.org/officeDocument/2006/relationships/oleObject" Target="embeddings/oleObject7.bin"/><Relationship Id="rId38" Type="http://schemas.openxmlformats.org/officeDocument/2006/relationships/image" Target="media/image8.wmf"/><Relationship Id="rId39" Type="http://schemas.openxmlformats.org/officeDocument/2006/relationships/hyperlink" Target="http://www.cancerregistryeducation.org/" TargetMode="External"/><Relationship Id="rId40" Type="http://schemas.openxmlformats.org/officeDocument/2006/relationships/hyperlink" Target="http://www.cancerregistryeducation.org/rr" TargetMode="External"/><Relationship Id="rId41" Type="http://schemas.openxmlformats.org/officeDocument/2006/relationships/hyperlink" Target="https://educate.fredhutch.org/LandingPage.aspx" TargetMode="External"/><Relationship Id="rId42" Type="http://schemas.openxmlformats.org/officeDocument/2006/relationships/hyperlink" Target="http://www.cancerregistryeducation.org/best-practices?fbclid=IwAR1bfhzNf844uTRZKbhelHvK0G2MSBumIlQH0o4K1hYqe46BmmmxPrnIVfY" TargetMode="External"/><Relationship Id="rId43" Type="http://schemas.openxmlformats.org/officeDocument/2006/relationships/hyperlink" Target="http://www.cancerregistryeducation.org/introduction-to-the-cancer-registry" TargetMode="External"/><Relationship Id="rId44" Type="http://schemas.openxmlformats.org/officeDocument/2006/relationships/hyperlink" Target="https://education.naaccr.org/freewebinars" TargetMode="External"/><Relationship Id="rId45" Type="http://schemas.openxmlformats.org/officeDocument/2006/relationships/hyperlink" Target="https://himaginesolutions.com/himagine-tumor-talk-webinar/" TargetMode="External"/><Relationship Id="rId46" Type="http://schemas.openxmlformats.org/officeDocument/2006/relationships/hyperlink" Target="https://himaginesolutions.com/previous-webinars/" TargetMode="External"/><Relationship Id="rId47" Type="http://schemas.openxmlformats.org/officeDocument/2006/relationships/hyperlink" Target="https://www.youtube.com/channel/UCFePdWVva8gfosv7jL11tyQ" TargetMode="External"/><Relationship Id="rId48" Type="http://schemas.openxmlformats.org/officeDocument/2006/relationships/hyperlink" Target="https://www.facs.org/caforumlive" TargetMode="External"/><Relationship Id="rId49" Type="http://schemas.openxmlformats.org/officeDocument/2006/relationships/hyperlink" Target="https://urldefense.proofpoint.com/v2/url?u=http-3A__sm1.multiview.com_t_gcH1AAgbaBPWBIYfQDQI8YLrYcaO2kDRU2taaaaO2kBPCBAN7aa-3Fn-3D7-5FvBwDy-7Eamp-3Bj-3Deglkh.qhoann-7E25AujoqY.kX0-7Eamp-3Bf-3D3-7Eamp-3Br-3D&amp;d=DwMCaQ&amp;c=imBPVzF25OnBgGmVOlcsiEgHoG1i6YHLR0Sj_gZ4adc&amp;r=eqoP-4M5iiuqWROTzaGrWu39oRlxKuhCxYwVlrcWxlE&amp;m=KOB06M1Kz2-4c9L45c9wsvsMn9QOAhuix95fT6FSkpY&amp;s=jXE759pHbrMYHr6I2kJpGgMhPR7KJdI8JOMI9ahVJBE&amp;e=" TargetMode="External"/><Relationship Id="rId50" Type="http://schemas.openxmlformats.org/officeDocument/2006/relationships/hyperlink" Target="https://cancerstaging.org/CSE/Registrar/Pages/Seventh-Edition-Webinars.aspx" TargetMode="External"/><Relationship Id="rId51" Type="http://schemas.openxmlformats.org/officeDocument/2006/relationships/hyperlink" Target="https://cancerstaging.org/CSE/Registrar/Pages/8thEditionWebinars.aspx" TargetMode="External"/><Relationship Id="rId52" Type="http://schemas.openxmlformats.org/officeDocument/2006/relationships/hyperlink" Target="https://cancerstaging.org/CSE/Registrar/Pages/Disease-Site-Webinars.aspx" TargetMode="External"/><Relationship Id="rId53" Type="http://schemas.openxmlformats.org/officeDocument/2006/relationships/hyperlink" Target="https://cancerstaging.org/CSE/Registrar/Pages/AJCC-Curriculum.aspx" TargetMode="External"/><Relationship Id="rId54" Type="http://schemas.openxmlformats.org/officeDocument/2006/relationships/hyperlink" Target="https://cancerstaging.org/CSE/Registrar/Pages/Presentations.aspx" TargetMode="External"/><Relationship Id="rId55" Type="http://schemas.openxmlformats.org/officeDocument/2006/relationships/hyperlink" Target="https://cancerstaging.org/CSE/Registrar/Pages/Presentations.aspx" TargetMode="External"/><Relationship Id="rId56" Type="http://schemas.openxmlformats.org/officeDocument/2006/relationships/hyperlink" Target="http://www.ncregistrars.com/" TargetMode="External"/><Relationship Id="rId57" Type="http://schemas.openxmlformats.org/officeDocument/2006/relationships/image" Target="media/image9.png"/><Relationship Id="rId58" Type="http://schemas.openxmlformats.org/officeDocument/2006/relationships/hyperlink" Target="http://www.ncregistrars.com/" TargetMode="External"/><Relationship Id="rId59" Type="http://schemas.openxmlformats.org/officeDocument/2006/relationships/hyperlink" Target="mailto:jburris@wakehealth.edu" TargetMode="External"/><Relationship Id="rId60" Type="http://schemas.openxmlformats.org/officeDocument/2006/relationships/hyperlink" Target="mailto:paige.tedder@carolinashealthcare.org" TargetMode="External"/><Relationship Id="rId61" Type="http://schemas.openxmlformats.org/officeDocument/2006/relationships/hyperlink" Target="mailto:Kathleen.foote@unchealth.unc.edu" TargetMode="External"/><Relationship Id="rId62" Type="http://schemas.openxmlformats.org/officeDocument/2006/relationships/hyperlink" Target="mailto:Merrill.bright@vidanthealth.com" TargetMode="External"/><Relationship Id="rId63" Type="http://schemas.openxmlformats.org/officeDocument/2006/relationships/hyperlink" Target="http://www.iacr.com.fr/index.php?option=com_content&amp;view=category&amp;layout=blog&amp;id=100&amp;Itemid=577" TargetMode="External"/><Relationship Id="rId64" Type="http://schemas.openxmlformats.org/officeDocument/2006/relationships/hyperlink" Target="https://seer.cancer.gov/tools/casefinding/" TargetMode="External"/><Relationship Id="rId65" Type="http://schemas.openxmlformats.org/officeDocument/2006/relationships/hyperlink" Target="https://www.naaccr.org/wp-content/uploads/2018/08/Updated-8-22-18-ICD-O-3-alpha-table.pdf" TargetMode="External"/><Relationship Id="rId66" Type="http://schemas.openxmlformats.org/officeDocument/2006/relationships/hyperlink" Target="https://seer.cancer.gov/seertools/seerrx/" TargetMode="External"/><Relationship Id="rId67" Type="http://schemas.openxmlformats.org/officeDocument/2006/relationships/hyperlink" Target="https://staging.seer.cancer.gov/" TargetMode="External"/><Relationship Id="rId68" Type="http://schemas.openxmlformats.org/officeDocument/2006/relationships/hyperlink" Target="https://seer.cancer.gov/tools/staging/2018-EOD-General-Instructions.pdf" TargetMode="External"/><Relationship Id="rId69" Type="http://schemas.openxmlformats.org/officeDocument/2006/relationships/hyperlink" Target="https://seer.cancer.gov/registrars/contact.html" TargetMode="External"/><Relationship Id="rId70" Type="http://schemas.openxmlformats.org/officeDocument/2006/relationships/hyperlink" Target="http://cancerbulletin.facs.org/forums/help" TargetMode="External"/><Relationship Id="rId71" Type="http://schemas.openxmlformats.org/officeDocument/2006/relationships/hyperlink" Target="https://seer.cancer.gov/seertools/hemelymph/" TargetMode="External"/><Relationship Id="rId72" Type="http://schemas.openxmlformats.org/officeDocument/2006/relationships/hyperlink" Target="https://seer.cancer.gov/tools/solidtumor/" TargetMode="External"/><Relationship Id="rId73" Type="http://schemas.openxmlformats.org/officeDocument/2006/relationships/hyperlink" Target="https://apps.naaccr.org/ssdi/list/" TargetMode="External"/><Relationship Id="rId74" Type="http://schemas.openxmlformats.org/officeDocument/2006/relationships/hyperlink" Target="https://www.facs.org/~/media/files/quality programs/cancer/ncdb/store_manual_2018.ashx" TargetMode="External"/><Relationship Id="rId75" Type="http://schemas.openxmlformats.org/officeDocument/2006/relationships/hyperlink" Target="https://cancerstaging.org/references-tools/deskreferences/Pages/default.aspx" TargetMode="External"/><Relationship Id="rId76" Type="http://schemas.openxmlformats.org/officeDocument/2006/relationships/hyperlink" Target="http://www.cancerregistryeducation.org/rr" TargetMode="External"/><Relationship Id="rId77" Type="http://schemas.openxmlformats.org/officeDocument/2006/relationships/hyperlink" Target="https://www.cancer.gov/types" TargetMode="External"/><Relationship Id="rId78" Type="http://schemas.openxmlformats.org/officeDocument/2006/relationships/hyperlink" Target="https://www.facs.org/~/media/files/quality programs/cancer/ncdb/rqrs_userguide.ashx" TargetMode="External"/><Relationship Id="rId79" Type="http://schemas.openxmlformats.org/officeDocument/2006/relationships/hyperlink" Target="https://www.facs.org/~/media/files/quality programs/cancer/ncdb/case_studies_coding_radiation_treatment.ashx" TargetMode="External"/><Relationship Id="rId80" Type="http://schemas.openxmlformats.org/officeDocument/2006/relationships/hyperlink" Target="https://www.facs.org/quality-programs/cancer/news" TargetMode="External"/><Relationship Id="rId81" Type="http://schemas.openxmlformats.org/officeDocument/2006/relationships/hyperlink" Target="http://multibriefs.com/optin.php?ACSORG" TargetMode="External"/><Relationship Id="rId82" Type="http://schemas.openxmlformats.org/officeDocument/2006/relationships/hyperlink" Target="http://multibriefs.com/briefs/ACSORG/index.php" TargetMode="External"/><Relationship Id="rId83" Type="http://schemas.openxmlformats.org/officeDocument/2006/relationships/image" Target="media/image10.png"/><Relationship Id="rId84" Type="http://schemas.openxmlformats.org/officeDocument/2006/relationships/image" Target="media/image11.jpeg"/><Relationship Id="rId85" Type="http://schemas.openxmlformats.org/officeDocument/2006/relationships/hyperlink" Target="https://www.ajmc.com/journals/evidence-based-oncology/2020/july-2020/covid19-and-cancer-ncis-sharpless-says-covid-19-could-halt-streak-of-us-cancer-mortality-gains" TargetMode="External"/><Relationship Id="rId86" Type="http://schemas.openxmlformats.org/officeDocument/2006/relationships/hyperlink" Target="https://www.curetoday.com/articles/patients-with-multiple-myeloma-who-join-mmrfs-curecloud-may-improve-their-treatment-options-while-contributing-to-research" TargetMode="External"/><Relationship Id="rId87" Type="http://schemas.openxmlformats.org/officeDocument/2006/relationships/hyperlink" Target="https://www.thedenverchannel.com/lifestyle/health/resources-available-for-cancer-caregivers-in-colorado" TargetMode="External"/><Relationship Id="rId88" Type="http://schemas.openxmlformats.org/officeDocument/2006/relationships/image" Target="media/image12.jpeg"/><Relationship Id="rId89" Type="http://schemas.openxmlformats.org/officeDocument/2006/relationships/image" Target="media/image13.png"/><Relationship Id="rId90" Type="http://schemas.openxmlformats.org/officeDocument/2006/relationships/hyperlink" Target="https://www.registrypartners.com/ctr-coding-break-bladder-site/" TargetMode="External"/><Relationship Id="rId91" Type="http://schemas.openxmlformats.org/officeDocument/2006/relationships/hyperlink" Target="https://www.ncra-usa.org/Membership/Volunteer/Volunteer-Leadership-Presentations" TargetMode="External"/><Relationship Id="rId92" Type="http://schemas.openxmlformats.org/officeDocument/2006/relationships/hyperlink" Target="https://www.ncra-usa.org/Membership/Nominations-and-Elections" TargetMode="External"/><Relationship Id="rId93" Type="http://schemas.openxmlformats.org/officeDocument/2006/relationships/footer" Target="footer1.xml"/><Relationship Id="rId94" Type="http://schemas.openxmlformats.org/officeDocument/2006/relationships/numbering" Target="numbering.xml"/><Relationship Id="rId95" Type="http://schemas.openxmlformats.org/officeDocument/2006/relationships/fontTable" Target="fontTable.xml"/><Relationship Id="rId9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LibreOffice/6.4.2.2$Linux_X86_64 LibreOffice_project/40$Build-2</Application>
  <Pages>22</Pages>
  <Words>2816</Words>
  <Characters>18358</Characters>
  <CharactersWithSpaces>21391</CharactersWithSpaces>
  <Paragraphs>325</Paragraphs>
  <Company>WFUBMC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2020-08-10T10:13:00Z</dcterms:created>
  <dc:creator>ievans</dc:creator>
  <dc:description/>
  <dc:language>en-US</dc:language>
  <cp:lastModifiedBy/>
  <cp:lastPrinted>2008-01-18T18:26:00Z</cp:lastPrinted>
  <dcterms:modified xsi:type="dcterms:W3CDTF">2020-08-10T10:13:00Z</dcterms:modified>
  <cp:revision>2</cp:revision>
  <dc:subject/>
  <dc:title>The Sentinel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WFUBMC</vt:lpwstr>
  </property>
  <property fmtid="{D5CDD505-2E9C-101B-9397-08002B2CF9AE}" pid="3" name="Operator">
    <vt:lpwstr>JR Tatum</vt:lpwstr>
  </property>
</Properties>
</file>